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0FBB32" w14:textId="77777777" w:rsidR="00113397" w:rsidRDefault="009C1503">
      <w:pPr>
        <w:pStyle w:val="Ttulo2"/>
        <w:jc w:val="center"/>
        <w:rPr>
          <w:rFonts w:ascii="Arial" w:eastAsia="Arial" w:hAnsi="Arial" w:cs="Arial"/>
          <w:b/>
          <w:bCs/>
          <w:color w:val="000000"/>
          <w:sz w:val="22"/>
          <w:szCs w:val="22"/>
          <w:highlight w:val="white"/>
        </w:rPr>
      </w:pPr>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3C8D6832" w14:textId="77777777" w:rsidR="00113397" w:rsidRDefault="00113397">
      <w:pPr>
        <w:jc w:val="center"/>
        <w:rPr>
          <w:rFonts w:ascii="Arial" w:eastAsia="Arial" w:hAnsi="Arial" w:cs="Arial"/>
          <w:color w:val="000000"/>
          <w:sz w:val="22"/>
          <w:szCs w:val="22"/>
          <w:highlight w:val="white"/>
        </w:rPr>
      </w:pPr>
      <w:bookmarkStart w:id="0" w:name="_heading=h.tziib8mju948" w:colFirst="0" w:colLast="0"/>
      <w:bookmarkEnd w:id="0"/>
    </w:p>
    <w:p w14:paraId="17E329E5" w14:textId="77777777" w:rsidR="00113397" w:rsidRDefault="009C1503">
      <w:pPr>
        <w:jc w:val="center"/>
        <w:rPr>
          <w:rFonts w:ascii="Arial" w:eastAsia="Arial" w:hAnsi="Arial" w:cs="Arial"/>
          <w:color w:val="000000"/>
          <w:sz w:val="22"/>
          <w:szCs w:val="22"/>
          <w:highlight w:val="white"/>
        </w:rPr>
      </w:pPr>
      <w:r>
        <w:rPr>
          <w:rFonts w:ascii="Arial" w:eastAsia="Arial" w:hAnsi="Arial" w:cs="Arial"/>
          <w:color w:val="000000"/>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00CB06F8" w14:textId="77777777" w:rsidR="00113397" w:rsidRDefault="00113397">
      <w:pPr>
        <w:jc w:val="center"/>
        <w:rPr>
          <w:rFonts w:ascii="Arial" w:eastAsia="Arial" w:hAnsi="Arial" w:cs="Arial"/>
          <w:color w:val="000000"/>
          <w:sz w:val="22"/>
          <w:szCs w:val="22"/>
          <w:highlight w:val="white"/>
        </w:rPr>
      </w:pPr>
    </w:p>
    <w:p w14:paraId="07D7043B" w14:textId="77777777" w:rsidR="00113397" w:rsidRDefault="009C1503">
      <w:pPr>
        <w:jc w:val="center"/>
        <w:rPr>
          <w:rFonts w:ascii="Arial" w:eastAsia="Arial" w:hAnsi="Arial" w:cs="Arial"/>
          <w:b/>
          <w:bCs/>
          <w:color w:val="000000"/>
          <w:sz w:val="22"/>
          <w:szCs w:val="22"/>
          <w:highlight w:val="white"/>
        </w:rPr>
      </w:pPr>
      <w:r>
        <w:rPr>
          <w:rFonts w:ascii="Arial" w:eastAsia="Arial" w:hAnsi="Arial" w:cs="Arial"/>
          <w:b/>
          <w:bCs/>
          <w:color w:val="000000"/>
          <w:sz w:val="22"/>
          <w:szCs w:val="22"/>
          <w:highlight w:val="white"/>
        </w:rPr>
        <w:t>CONSIDERANDO:</w:t>
      </w:r>
    </w:p>
    <w:p w14:paraId="5EC9FE62" w14:textId="77777777" w:rsidR="00113397" w:rsidRDefault="00113397">
      <w:pPr>
        <w:jc w:val="both"/>
        <w:rPr>
          <w:rFonts w:ascii="Arial" w:eastAsia="Arial" w:hAnsi="Arial" w:cs="Arial"/>
          <w:color w:val="000000"/>
          <w:sz w:val="22"/>
          <w:szCs w:val="22"/>
        </w:rPr>
      </w:pPr>
      <w:bookmarkStart w:id="1" w:name="_heading=h.vmq5jlsylcjh" w:colFirst="0" w:colLast="0"/>
      <w:bookmarkEnd w:id="1"/>
    </w:p>
    <w:p w14:paraId="0630EEBA" w14:textId="4A26FE72" w:rsidR="00113397" w:rsidRDefault="009C1503">
      <w:pPr>
        <w:spacing w:line="276" w:lineRule="auto"/>
        <w:jc w:val="both"/>
        <w:rPr>
          <w:rFonts w:ascii="Arial" w:eastAsia="Arial" w:hAnsi="Arial" w:cs="Arial"/>
          <w:sz w:val="22"/>
          <w:szCs w:val="22"/>
        </w:rPr>
      </w:pPr>
      <w:r>
        <w:rPr>
          <w:rFonts w:ascii="Arial" w:eastAsia="Arial" w:hAnsi="Arial" w:cs="Arial"/>
          <w:color w:val="000000"/>
          <w:sz w:val="22"/>
          <w:szCs w:val="22"/>
          <w:highlight w:val="white"/>
        </w:rPr>
        <w:t xml:space="preserve">Que la </w:t>
      </w:r>
      <w:r>
        <w:rPr>
          <w:rFonts w:ascii="Arial" w:eastAsia="Arial" w:hAnsi="Arial" w:cs="Arial"/>
          <w:color w:val="000000"/>
          <w:sz w:val="22"/>
          <w:szCs w:val="22"/>
        </w:rPr>
        <w:t>Dirección</w:t>
      </w:r>
      <w:r>
        <w:rPr>
          <w:rFonts w:ascii="Arial" w:eastAsia="Arial" w:hAnsi="Arial" w:cs="Arial"/>
          <w:color w:val="000000"/>
          <w:sz w:val="22"/>
          <w:szCs w:val="22"/>
          <w:highlight w:val="white"/>
        </w:rPr>
        <w:t xml:space="preserve"> de Investigaciones y Control de Vivienda de la Subsecretaría de Inspección, Vigilancia y Control de Vivienda de la Secretaría Distrital del Hábitat, en virtud de su competencia y de conformidad con la Ley 66 de 1968, modificada por el Decreto Ley 2610 de 1979, y el Decreto Ley 078 de 1987, asumió el conocimiento de la </w:t>
      </w:r>
      <w:r>
        <w:rPr>
          <w:rFonts w:ascii="Arial" w:eastAsia="Arial" w:hAnsi="Arial" w:cs="Arial"/>
          <w:sz w:val="22"/>
          <w:szCs w:val="22"/>
        </w:rPr>
        <w:t>queja presentada por la señora HAYDDIN GARZÓN C., en calidad de propietaria del apartamento 801 del proyecto de vivienda EDIFICIO MONTERREY - PROPIEDAD HORIZONTAL, ubicado en la Carrera 59 A No 136-25 de esta ciudad, en ocasión a las presuntas deficiencias constructivas presentadas en el área privada del apartamento 801 de dicho conjunto, en contra de la sociedad enajenadora INVERSIONES ALCABAMA S.A., identificada con el NIT. 800.208.146-3, representada legalmente ALBERTO BELLO DOMÍNGUEZ (o quien haga sus veces), actuación a la que le correspondió el radicado No. 1-2019-35268.</w:t>
      </w:r>
    </w:p>
    <w:p w14:paraId="1E430DC5" w14:textId="77777777" w:rsidR="00113397" w:rsidRDefault="00113397">
      <w:pPr>
        <w:spacing w:line="276" w:lineRule="auto"/>
        <w:jc w:val="both"/>
        <w:rPr>
          <w:rFonts w:ascii="Arial" w:eastAsia="Arial" w:hAnsi="Arial" w:cs="Arial"/>
          <w:sz w:val="22"/>
          <w:szCs w:val="22"/>
        </w:rPr>
      </w:pPr>
    </w:p>
    <w:p w14:paraId="0D73FAE3" w14:textId="77777777" w:rsidR="00113397" w:rsidRDefault="009C1503">
      <w:pPr>
        <w:spacing w:line="276" w:lineRule="auto"/>
        <w:jc w:val="both"/>
        <w:rPr>
          <w:rFonts w:ascii="Arial" w:eastAsia="Arial" w:hAnsi="Arial" w:cs="Arial"/>
          <w:sz w:val="22"/>
          <w:szCs w:val="22"/>
        </w:rPr>
      </w:pPr>
      <w:r>
        <w:rPr>
          <w:rFonts w:ascii="Arial" w:eastAsia="Arial" w:hAnsi="Arial" w:cs="Arial"/>
          <w:color w:val="000000"/>
          <w:sz w:val="22"/>
          <w:szCs w:val="22"/>
        </w:rPr>
        <w:t xml:space="preserve">Que continuando con las actuaciones administrativas mediante </w:t>
      </w:r>
      <w:r>
        <w:rPr>
          <w:rFonts w:ascii="Arial" w:eastAsia="Arial" w:hAnsi="Arial" w:cs="Arial"/>
          <w:sz w:val="22"/>
          <w:szCs w:val="22"/>
        </w:rPr>
        <w:t>Resolución No. 1666 del 22 de julio de 2022</w:t>
      </w:r>
      <w:r>
        <w:rPr>
          <w:rFonts w:ascii="Arial" w:eastAsia="Arial" w:hAnsi="Arial" w:cs="Arial"/>
          <w:color w:val="000000"/>
          <w:sz w:val="22"/>
          <w:szCs w:val="22"/>
        </w:rPr>
        <w:t>, "</w:t>
      </w:r>
      <w:r>
        <w:rPr>
          <w:rFonts w:ascii="Arial" w:eastAsia="Arial" w:hAnsi="Arial" w:cs="Arial"/>
          <w:i/>
          <w:iCs/>
          <w:color w:val="000000"/>
          <w:sz w:val="22"/>
          <w:szCs w:val="22"/>
        </w:rPr>
        <w:t>Por la cual se impone una sanción y se imparte una orden</w:t>
      </w:r>
      <w:r>
        <w:rPr>
          <w:rFonts w:ascii="Arial" w:eastAsia="Arial" w:hAnsi="Arial" w:cs="Arial"/>
          <w:color w:val="000000"/>
          <w:sz w:val="22"/>
          <w:szCs w:val="22"/>
        </w:rPr>
        <w:t xml:space="preserve">", multó a la sociedad enajenadora </w:t>
      </w:r>
      <w:r>
        <w:rPr>
          <w:rFonts w:ascii="Arial" w:eastAsia="Arial" w:hAnsi="Arial" w:cs="Arial"/>
          <w:sz w:val="22"/>
          <w:szCs w:val="22"/>
        </w:rPr>
        <w:t>INVERSIONES ALCABAMA S.A</w:t>
      </w:r>
      <w:r>
        <w:rPr>
          <w:rFonts w:ascii="Arial" w:eastAsia="Arial" w:hAnsi="Arial" w:cs="Arial"/>
          <w:color w:val="000000"/>
          <w:sz w:val="22"/>
          <w:szCs w:val="22"/>
        </w:rPr>
        <w:t xml:space="preserve">, </w:t>
      </w:r>
      <w:r>
        <w:rPr>
          <w:rFonts w:ascii="Arial" w:eastAsia="Arial" w:hAnsi="Arial" w:cs="Arial"/>
          <w:sz w:val="22"/>
          <w:szCs w:val="22"/>
        </w:rPr>
        <w:t>identificada con el NIT. 800.208.146-3</w:t>
      </w:r>
      <w:r>
        <w:rPr>
          <w:rFonts w:ascii="Arial" w:eastAsia="Arial" w:hAnsi="Arial" w:cs="Arial"/>
          <w:color w:val="000000"/>
          <w:sz w:val="22"/>
          <w:szCs w:val="22"/>
        </w:rPr>
        <w:t xml:space="preserve">, </w:t>
      </w:r>
      <w:r>
        <w:rPr>
          <w:rFonts w:ascii="Arial" w:eastAsia="Arial" w:hAnsi="Arial" w:cs="Arial"/>
          <w:sz w:val="22"/>
          <w:szCs w:val="22"/>
        </w:rPr>
        <w:t>representada legalmente ALBERTO BELLO DOMÍNGUEZ (o quien haga sus veces)</w:t>
      </w:r>
      <w:r>
        <w:rPr>
          <w:rFonts w:ascii="Arial" w:eastAsia="Arial" w:hAnsi="Arial" w:cs="Arial"/>
          <w:color w:val="000000"/>
          <w:sz w:val="22"/>
          <w:szCs w:val="22"/>
        </w:rPr>
        <w:t xml:space="preserve">, con la suma de </w:t>
      </w:r>
      <w:r>
        <w:rPr>
          <w:rFonts w:ascii="Arial" w:eastAsia="Arial" w:hAnsi="Arial" w:cs="Arial"/>
          <w:sz w:val="22"/>
          <w:szCs w:val="22"/>
        </w:rPr>
        <w:t>TREINTA MIL QUINIENTOS PESOS ($30.500.00) M/CTE, que corresponden a CINCO MILLONES DOSCIENTOS CUARENTA Y SEIS MIL OCHOCIENTOS OCHENTA Y CUATRO PESOS ($5.246.884) M/CTE.</w:t>
      </w:r>
    </w:p>
    <w:p w14:paraId="356C9269" w14:textId="77777777" w:rsidR="00113397" w:rsidRDefault="00113397">
      <w:pPr>
        <w:spacing w:line="276" w:lineRule="auto"/>
        <w:jc w:val="both"/>
        <w:rPr>
          <w:rFonts w:ascii="Arial" w:eastAsia="Arial" w:hAnsi="Arial" w:cs="Arial"/>
          <w:color w:val="000000"/>
          <w:sz w:val="22"/>
          <w:szCs w:val="22"/>
        </w:rPr>
      </w:pPr>
    </w:p>
    <w:p w14:paraId="2139859C" w14:textId="77777777" w:rsidR="00113397" w:rsidRDefault="009C1503">
      <w:pPr>
        <w:ind w:right="49"/>
        <w:jc w:val="both"/>
        <w:rPr>
          <w:rFonts w:ascii="Arial" w:eastAsia="Arial" w:hAnsi="Arial" w:cs="Arial"/>
          <w:color w:val="000000"/>
          <w:sz w:val="22"/>
          <w:szCs w:val="22"/>
        </w:rPr>
      </w:pPr>
      <w:r>
        <w:rPr>
          <w:rFonts w:ascii="Arial" w:eastAsia="Arial" w:hAnsi="Arial" w:cs="Arial"/>
          <w:color w:val="000000"/>
          <w:sz w:val="22"/>
          <w:szCs w:val="22"/>
        </w:rPr>
        <w:t xml:space="preserve">Que, en los artículos segundo, tercero y cuarto de la </w:t>
      </w:r>
      <w:r>
        <w:rPr>
          <w:rFonts w:ascii="Arial" w:eastAsia="Arial" w:hAnsi="Arial" w:cs="Arial"/>
          <w:sz w:val="22"/>
          <w:szCs w:val="22"/>
        </w:rPr>
        <w:t>Resolución No. 1666 del 22 de julio de 2022</w:t>
      </w:r>
      <w:r>
        <w:rPr>
          <w:rFonts w:ascii="Arial" w:eastAsia="Arial" w:hAnsi="Arial" w:cs="Arial"/>
          <w:color w:val="000000"/>
          <w:sz w:val="22"/>
          <w:szCs w:val="22"/>
        </w:rPr>
        <w:t>, “</w:t>
      </w:r>
      <w:r>
        <w:rPr>
          <w:rFonts w:ascii="Arial" w:eastAsia="Arial" w:hAnsi="Arial" w:cs="Arial"/>
          <w:i/>
          <w:iCs/>
          <w:color w:val="000000"/>
          <w:sz w:val="22"/>
          <w:szCs w:val="22"/>
        </w:rPr>
        <w:t>Por la cual se impone una sanción y se imparte una orden</w:t>
      </w:r>
      <w:r>
        <w:rPr>
          <w:rFonts w:ascii="Arial" w:eastAsia="Arial" w:hAnsi="Arial" w:cs="Arial"/>
          <w:color w:val="000000"/>
          <w:sz w:val="22"/>
          <w:szCs w:val="22"/>
        </w:rPr>
        <w:t>”, se estableció:</w:t>
      </w:r>
    </w:p>
    <w:p w14:paraId="36C785BE" w14:textId="77777777" w:rsidR="00113397" w:rsidRDefault="00113397">
      <w:pPr>
        <w:spacing w:line="276" w:lineRule="auto"/>
        <w:jc w:val="both"/>
        <w:rPr>
          <w:rFonts w:ascii="Arial" w:eastAsia="Arial" w:hAnsi="Arial" w:cs="Arial"/>
          <w:color w:val="000000"/>
          <w:sz w:val="22"/>
          <w:szCs w:val="22"/>
        </w:rPr>
      </w:pPr>
    </w:p>
    <w:p w14:paraId="1F629C39" w14:textId="77777777" w:rsidR="00113397" w:rsidRPr="00514FF4" w:rsidRDefault="009C1503">
      <w:pPr>
        <w:spacing w:line="276" w:lineRule="auto"/>
        <w:ind w:left="720"/>
        <w:jc w:val="both"/>
        <w:rPr>
          <w:rFonts w:ascii="Arial" w:eastAsia="Arial" w:hAnsi="Arial" w:cs="Arial"/>
          <w:i/>
          <w:iCs/>
          <w:sz w:val="21"/>
          <w:szCs w:val="21"/>
        </w:rPr>
      </w:pPr>
      <w:r w:rsidRPr="00514FF4">
        <w:rPr>
          <w:rFonts w:ascii="Arial" w:eastAsia="Arial" w:hAnsi="Arial" w:cs="Arial"/>
          <w:b/>
          <w:bCs/>
          <w:i/>
          <w:iCs/>
          <w:sz w:val="21"/>
          <w:szCs w:val="21"/>
        </w:rPr>
        <w:t>ARTÍCULO SEGUNDO:</w:t>
      </w:r>
      <w:r w:rsidRPr="00514FF4">
        <w:rPr>
          <w:rFonts w:ascii="Arial" w:eastAsia="Arial" w:hAnsi="Arial" w:cs="Arial"/>
          <w:i/>
          <w:iCs/>
          <w:sz w:val="21"/>
          <w:szCs w:val="21"/>
        </w:rPr>
        <w:t xml:space="preserve"> Requerir a la sociedad enajenadora INVERSIONES ALCABAMA S.A., identificada con el NIT. 800.208.146-3, representada legalmente ALBERTO BELLO DOMÍNGUEZ (o quien haga sus veces), para que dentro del término de DIECIOCHO MESES (18) meses (calendario) siguientes a la ejecutoria del presente acto administrativo se acoja a la normatividad infringida, para lo cual deberá solucionar en forma definitiva los hechos "I. Fisuras en enchapes (baños y cocina)"; "2. Fisuras en muros y techos con desprendimiento de pintura (habitaciones y sala)" y "3. Fisuras en </w:t>
      </w:r>
      <w:r w:rsidRPr="00514FF4">
        <w:rPr>
          <w:rFonts w:ascii="Arial" w:eastAsia="Arial" w:hAnsi="Arial" w:cs="Arial"/>
          <w:i/>
          <w:iCs/>
          <w:sz w:val="21"/>
          <w:szCs w:val="21"/>
        </w:rPr>
        <w:lastRenderedPageBreak/>
        <w:t>antepechos", que se han venido presentando en las áreas privadas del apartamento 801 garantizando el estado estructural del área privada en mención y de las zonas comunes del EDIFICIO MONTERREY - PROPIEDAD HORIZONTAL, ya que dichas afectaciones constituyen deficiencias constructivas grave y gravísima, conforme se evidencia en el Informe de Verificación de Hechos No. 21-220 del 09 de junio de 2021; lo anterior en el evento de que dichos hechos no hayan sido intervenidos al momento de la expedición de la presente Resolución.</w:t>
      </w:r>
    </w:p>
    <w:p w14:paraId="250FF426" w14:textId="77777777" w:rsidR="00113397" w:rsidRPr="00514FF4" w:rsidRDefault="00113397">
      <w:pPr>
        <w:spacing w:line="276" w:lineRule="auto"/>
        <w:ind w:left="720"/>
        <w:jc w:val="both"/>
        <w:rPr>
          <w:rFonts w:ascii="Arial" w:eastAsia="Arial" w:hAnsi="Arial" w:cs="Arial"/>
          <w:i/>
          <w:iCs/>
          <w:sz w:val="21"/>
          <w:szCs w:val="21"/>
        </w:rPr>
      </w:pPr>
    </w:p>
    <w:p w14:paraId="70162D8B" w14:textId="6A2C54F0" w:rsidR="00113397" w:rsidRPr="00514FF4" w:rsidRDefault="009C1503">
      <w:pPr>
        <w:spacing w:line="276" w:lineRule="auto"/>
        <w:ind w:left="720"/>
        <w:jc w:val="both"/>
        <w:rPr>
          <w:rFonts w:ascii="Arial" w:eastAsia="Arial" w:hAnsi="Arial" w:cs="Arial"/>
          <w:i/>
          <w:iCs/>
          <w:sz w:val="21"/>
          <w:szCs w:val="21"/>
        </w:rPr>
      </w:pPr>
      <w:r w:rsidRPr="00514FF4">
        <w:rPr>
          <w:rFonts w:ascii="Arial" w:eastAsia="Arial" w:hAnsi="Arial" w:cs="Arial"/>
          <w:b/>
          <w:bCs/>
          <w:i/>
          <w:iCs/>
          <w:sz w:val="21"/>
          <w:szCs w:val="21"/>
        </w:rPr>
        <w:t>ARTÍCULO TERCERO:</w:t>
      </w:r>
      <w:r w:rsidRPr="00514FF4">
        <w:rPr>
          <w:rFonts w:ascii="Arial" w:eastAsia="Arial" w:hAnsi="Arial" w:cs="Arial"/>
          <w:i/>
          <w:iCs/>
          <w:sz w:val="21"/>
          <w:szCs w:val="21"/>
        </w:rPr>
        <w:t xml:space="preserve"> Ordenar a la sociedad enajenadora INVERSIONES ALCABAMA S.A., identificada con el NIT. 800.208.146-3, </w:t>
      </w:r>
      <w:r w:rsidR="00F90DC2" w:rsidRPr="00514FF4">
        <w:rPr>
          <w:rFonts w:ascii="Arial" w:eastAsia="Arial" w:hAnsi="Arial" w:cs="Arial"/>
          <w:i/>
          <w:iCs/>
          <w:sz w:val="21"/>
          <w:szCs w:val="21"/>
        </w:rPr>
        <w:t>representada</w:t>
      </w:r>
      <w:r w:rsidRPr="00514FF4">
        <w:rPr>
          <w:rFonts w:ascii="Arial" w:eastAsia="Arial" w:hAnsi="Arial" w:cs="Arial"/>
          <w:i/>
          <w:iCs/>
          <w:sz w:val="21"/>
          <w:szCs w:val="21"/>
        </w:rPr>
        <w:t xml:space="preserve"> legalmente ALBERTO BELLO OMINGUEZ (o quien haga sus veces), para que dentro de los diez (10) días (hábiles) </w:t>
      </w:r>
      <w:proofErr w:type="gramStart"/>
      <w:r w:rsidRPr="00514FF4">
        <w:rPr>
          <w:rFonts w:ascii="Arial" w:eastAsia="Arial" w:hAnsi="Arial" w:cs="Arial"/>
          <w:i/>
          <w:iCs/>
          <w:sz w:val="21"/>
          <w:szCs w:val="21"/>
        </w:rPr>
        <w:t>siguientes cumplimiento</w:t>
      </w:r>
      <w:proofErr w:type="gramEnd"/>
      <w:r w:rsidRPr="00514FF4">
        <w:rPr>
          <w:rFonts w:ascii="Arial" w:eastAsia="Arial" w:hAnsi="Arial" w:cs="Arial"/>
          <w:i/>
          <w:iCs/>
          <w:sz w:val="21"/>
          <w:szCs w:val="21"/>
        </w:rPr>
        <w:t xml:space="preserve"> del término otorgado en el artículo anterior, acredite ante este Despacho la realización de las labores de corrección sobre los citados hechos.</w:t>
      </w:r>
    </w:p>
    <w:p w14:paraId="1DDE223D" w14:textId="77777777" w:rsidR="00113397" w:rsidRPr="00514FF4" w:rsidRDefault="00113397">
      <w:pPr>
        <w:spacing w:line="276" w:lineRule="auto"/>
        <w:ind w:left="720"/>
        <w:jc w:val="both"/>
        <w:rPr>
          <w:rFonts w:ascii="Arial" w:eastAsia="Arial" w:hAnsi="Arial" w:cs="Arial"/>
          <w:i/>
          <w:iCs/>
          <w:sz w:val="21"/>
          <w:szCs w:val="21"/>
        </w:rPr>
      </w:pPr>
    </w:p>
    <w:p w14:paraId="6DD431A2" w14:textId="028CC693" w:rsidR="00113397" w:rsidRPr="00514FF4" w:rsidRDefault="009C1503">
      <w:pPr>
        <w:spacing w:line="276" w:lineRule="auto"/>
        <w:ind w:left="720"/>
        <w:jc w:val="both"/>
        <w:rPr>
          <w:rFonts w:ascii="Arial" w:eastAsia="Arial" w:hAnsi="Arial" w:cs="Arial"/>
          <w:i/>
          <w:iCs/>
          <w:sz w:val="21"/>
          <w:szCs w:val="21"/>
        </w:rPr>
      </w:pPr>
      <w:r w:rsidRPr="00514FF4">
        <w:rPr>
          <w:rFonts w:ascii="Arial" w:eastAsia="Arial" w:hAnsi="Arial" w:cs="Arial"/>
          <w:b/>
          <w:bCs/>
          <w:i/>
          <w:iCs/>
          <w:sz w:val="21"/>
          <w:szCs w:val="21"/>
        </w:rPr>
        <w:t>ARTÍCULO CUARTO:</w:t>
      </w:r>
      <w:r w:rsidRPr="00514FF4">
        <w:rPr>
          <w:rFonts w:ascii="Arial" w:eastAsia="Arial" w:hAnsi="Arial" w:cs="Arial"/>
          <w:i/>
          <w:iCs/>
          <w:sz w:val="21"/>
          <w:szCs w:val="21"/>
        </w:rPr>
        <w:t xml:space="preserve"> El incumplimiento al requerimiento formulado en el artículo segundo, </w:t>
      </w:r>
      <w:r w:rsidR="00F90DC2" w:rsidRPr="00514FF4">
        <w:rPr>
          <w:rFonts w:ascii="Arial" w:eastAsia="Arial" w:hAnsi="Arial" w:cs="Arial"/>
          <w:i/>
          <w:iCs/>
          <w:sz w:val="21"/>
          <w:szCs w:val="21"/>
        </w:rPr>
        <w:t>s</w:t>
      </w:r>
      <w:r w:rsidRPr="00514FF4">
        <w:rPr>
          <w:rFonts w:ascii="Arial" w:eastAsia="Arial" w:hAnsi="Arial" w:cs="Arial"/>
          <w:i/>
          <w:iCs/>
          <w:sz w:val="21"/>
          <w:szCs w:val="21"/>
        </w:rPr>
        <w:t>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Se retardo al vencimiento de la fecha establecida para el efecto, de conformidad con lo dispuesto en 1 inciso segundo numeral 9 del artículo 2º del Decreto Ley 078 de 1987.</w:t>
      </w:r>
    </w:p>
    <w:p w14:paraId="00810BE4" w14:textId="77777777" w:rsidR="00113397" w:rsidRPr="00514FF4" w:rsidRDefault="00113397">
      <w:pPr>
        <w:spacing w:line="276" w:lineRule="auto"/>
        <w:jc w:val="both"/>
        <w:rPr>
          <w:rFonts w:ascii="Arial" w:eastAsia="Arial" w:hAnsi="Arial" w:cs="Arial"/>
          <w:sz w:val="21"/>
          <w:szCs w:val="21"/>
        </w:rPr>
      </w:pPr>
    </w:p>
    <w:p w14:paraId="71B1DD00" w14:textId="77777777" w:rsidR="00113397" w:rsidRDefault="009C1503">
      <w:pPr>
        <w:spacing w:line="276" w:lineRule="auto"/>
        <w:jc w:val="both"/>
        <w:rPr>
          <w:rFonts w:ascii="Arial" w:eastAsia="Arial" w:hAnsi="Arial" w:cs="Arial"/>
          <w:sz w:val="22"/>
          <w:szCs w:val="22"/>
        </w:rPr>
      </w:pPr>
      <w:r>
        <w:rPr>
          <w:rFonts w:ascii="Arial" w:eastAsia="Arial" w:hAnsi="Arial" w:cs="Arial"/>
          <w:sz w:val="22"/>
          <w:szCs w:val="22"/>
        </w:rPr>
        <w:t>Que, mediante radicado 1-2022-37937 del 08 de septiembre de 2022 la sociedad enajenadora INVERSIONES ALCABAMA S.A interpuso recurso de reposición y en subsidio apelación en contra de la Resolución No. 1666 del 22 de julio de 2022</w:t>
      </w:r>
    </w:p>
    <w:p w14:paraId="4F784B87" w14:textId="77777777" w:rsidR="00113397" w:rsidRDefault="00113397">
      <w:pPr>
        <w:spacing w:line="276" w:lineRule="auto"/>
        <w:jc w:val="both"/>
        <w:rPr>
          <w:rFonts w:ascii="Arial" w:eastAsia="Arial" w:hAnsi="Arial" w:cs="Arial"/>
          <w:sz w:val="22"/>
          <w:szCs w:val="22"/>
        </w:rPr>
      </w:pPr>
    </w:p>
    <w:p w14:paraId="5F2CB310" w14:textId="7D5A6DDD" w:rsidR="00113397" w:rsidRDefault="009C1503">
      <w:pPr>
        <w:spacing w:line="276" w:lineRule="auto"/>
        <w:jc w:val="both"/>
        <w:rPr>
          <w:rFonts w:ascii="Arial" w:eastAsia="Arial" w:hAnsi="Arial" w:cs="Arial"/>
          <w:b/>
          <w:bCs/>
          <w:sz w:val="22"/>
          <w:szCs w:val="22"/>
          <w:u w:val="single"/>
        </w:rPr>
      </w:pPr>
      <w:r>
        <w:rPr>
          <w:rFonts w:ascii="Arial" w:eastAsia="Arial" w:hAnsi="Arial" w:cs="Arial"/>
          <w:sz w:val="22"/>
          <w:szCs w:val="22"/>
        </w:rPr>
        <w:t xml:space="preserve">Que, mediante Resolución No. 2770 del 20 de octubre de 2022 este despacho resuelve recurso de reposición decidiendo no reponer la Resolución </w:t>
      </w:r>
      <w:r w:rsidR="00637D4D">
        <w:rPr>
          <w:rFonts w:ascii="Arial" w:eastAsia="Arial" w:hAnsi="Arial" w:cs="Arial"/>
          <w:sz w:val="22"/>
          <w:szCs w:val="22"/>
        </w:rPr>
        <w:t>recurrida</w:t>
      </w:r>
      <w:r>
        <w:rPr>
          <w:rFonts w:ascii="Arial" w:eastAsia="Arial" w:hAnsi="Arial" w:cs="Arial"/>
          <w:sz w:val="22"/>
          <w:szCs w:val="22"/>
        </w:rPr>
        <w:t>. Así mismo, a través de Resolución No. 92 del 20 de febrero de 2023 se resuelve recurso de apelación decidiendo confirmar en todas sus partes la Resolución No. 1666 del 22 de julio de 2022</w:t>
      </w:r>
      <w:r w:rsidR="00637D4D">
        <w:rPr>
          <w:rFonts w:ascii="Arial" w:eastAsia="Arial" w:hAnsi="Arial" w:cs="Arial"/>
          <w:sz w:val="22"/>
          <w:szCs w:val="22"/>
        </w:rPr>
        <w:t xml:space="preserve">, de esta </w:t>
      </w:r>
      <w:r>
        <w:rPr>
          <w:rFonts w:ascii="Arial" w:eastAsia="Arial" w:hAnsi="Arial" w:cs="Arial"/>
          <w:sz w:val="22"/>
          <w:szCs w:val="22"/>
        </w:rPr>
        <w:t xml:space="preserve">manera quedó debidamente ejecutoriada el </w:t>
      </w:r>
      <w:r w:rsidRPr="00637D4D">
        <w:rPr>
          <w:rFonts w:ascii="Arial" w:eastAsia="Arial" w:hAnsi="Arial" w:cs="Arial"/>
          <w:sz w:val="22"/>
          <w:szCs w:val="22"/>
        </w:rPr>
        <w:t>veintinueve (29) de marzo de 2023.</w:t>
      </w:r>
    </w:p>
    <w:p w14:paraId="50DE51D1" w14:textId="77777777" w:rsidR="00113397" w:rsidRDefault="00113397">
      <w:pPr>
        <w:spacing w:line="276" w:lineRule="auto"/>
        <w:jc w:val="both"/>
        <w:rPr>
          <w:rFonts w:ascii="Arial" w:eastAsia="Arial" w:hAnsi="Arial" w:cs="Arial"/>
          <w:sz w:val="22"/>
          <w:szCs w:val="22"/>
        </w:rPr>
      </w:pPr>
    </w:p>
    <w:p w14:paraId="7BF59311" w14:textId="77777777" w:rsidR="00113397" w:rsidRDefault="009C1503">
      <w:pPr>
        <w:spacing w:line="276" w:lineRule="auto"/>
        <w:jc w:val="both"/>
        <w:rPr>
          <w:rFonts w:ascii="Arial" w:eastAsia="Arial" w:hAnsi="Arial" w:cs="Arial"/>
          <w:sz w:val="22"/>
          <w:szCs w:val="22"/>
        </w:rPr>
      </w:pPr>
      <w:r>
        <w:rPr>
          <w:rFonts w:ascii="Arial" w:eastAsia="Arial" w:hAnsi="Arial" w:cs="Arial"/>
          <w:sz w:val="22"/>
          <w:szCs w:val="22"/>
        </w:rPr>
        <w:t>Que, mediante radicados 2-2025-36031 y 2-2025-36032 del 07 de julio de 2025 este despacho informa a las partes de la visita de carácter técnico que se llevará a cabo el 16 de julio de 2025 con el fin de verificar el cumplimiento de los hechos ordenados en la Resolución No. 1666 del 22 de julio de 2022.</w:t>
      </w:r>
    </w:p>
    <w:p w14:paraId="1717F2B5" w14:textId="77777777" w:rsidR="00113397" w:rsidRDefault="00113397">
      <w:pPr>
        <w:spacing w:line="276" w:lineRule="auto"/>
        <w:jc w:val="both"/>
        <w:rPr>
          <w:rFonts w:ascii="Arial" w:eastAsia="Arial" w:hAnsi="Arial" w:cs="Arial"/>
          <w:sz w:val="22"/>
          <w:szCs w:val="22"/>
        </w:rPr>
      </w:pPr>
    </w:p>
    <w:p w14:paraId="0CC6C33A" w14:textId="7D1249F0" w:rsidR="00113397" w:rsidRDefault="009C1503">
      <w:pPr>
        <w:spacing w:line="276" w:lineRule="auto"/>
        <w:jc w:val="both"/>
        <w:rPr>
          <w:rFonts w:ascii="Arial" w:eastAsia="Arial" w:hAnsi="Arial" w:cs="Arial"/>
          <w:sz w:val="22"/>
          <w:szCs w:val="22"/>
        </w:rPr>
      </w:pPr>
      <w:r>
        <w:rPr>
          <w:rFonts w:ascii="Arial" w:eastAsia="Arial" w:hAnsi="Arial" w:cs="Arial"/>
          <w:sz w:val="22"/>
          <w:szCs w:val="22"/>
        </w:rPr>
        <w:lastRenderedPageBreak/>
        <w:t>Que, de la visita de carácter técnico, a la cual asistieron ambas partes, se desprende el Informe de Verificación de Hechos No. 25-526 del 27 de octubre de 2025 que encontró</w:t>
      </w:r>
      <w:r w:rsidR="00637D4D">
        <w:rPr>
          <w:rFonts w:ascii="Arial" w:eastAsia="Arial" w:hAnsi="Arial" w:cs="Arial"/>
          <w:sz w:val="22"/>
          <w:szCs w:val="22"/>
        </w:rPr>
        <w:t xml:space="preserve"> que</w:t>
      </w:r>
      <w:r>
        <w:rPr>
          <w:rFonts w:ascii="Arial" w:eastAsia="Arial" w:hAnsi="Arial" w:cs="Arial"/>
          <w:sz w:val="22"/>
          <w:szCs w:val="22"/>
        </w:rPr>
        <w:t xml:space="preserve"> los </w:t>
      </w:r>
      <w:r w:rsidR="00637D4D">
        <w:rPr>
          <w:rFonts w:ascii="Arial" w:eastAsia="Arial" w:hAnsi="Arial" w:cs="Arial"/>
          <w:sz w:val="22"/>
          <w:szCs w:val="22"/>
        </w:rPr>
        <w:t>no persisten.</w:t>
      </w:r>
      <w:r>
        <w:rPr>
          <w:rFonts w:ascii="Arial" w:eastAsia="Arial" w:hAnsi="Arial" w:cs="Arial"/>
          <w:sz w:val="22"/>
          <w:szCs w:val="22"/>
        </w:rPr>
        <w:t xml:space="preserve"> </w:t>
      </w:r>
    </w:p>
    <w:p w14:paraId="07D9B988" w14:textId="77777777" w:rsidR="00113397" w:rsidRDefault="00113397">
      <w:pPr>
        <w:ind w:right="-92"/>
        <w:jc w:val="both"/>
        <w:rPr>
          <w:rFonts w:ascii="Arial" w:eastAsia="Arial" w:hAnsi="Arial" w:cs="Arial"/>
          <w:b/>
          <w:bCs/>
          <w:i/>
          <w:iCs/>
          <w:sz w:val="22"/>
          <w:szCs w:val="22"/>
        </w:rPr>
      </w:pPr>
    </w:p>
    <w:p w14:paraId="46AF4742" w14:textId="77777777" w:rsidR="00113397" w:rsidRDefault="009C1503">
      <w:pPr>
        <w:widowControl w:val="0"/>
        <w:ind w:right="-92"/>
        <w:jc w:val="both"/>
        <w:rPr>
          <w:rFonts w:ascii="Arial" w:eastAsia="Arial" w:hAnsi="Arial" w:cs="Arial"/>
          <w:color w:val="000000"/>
          <w:sz w:val="22"/>
          <w:szCs w:val="22"/>
        </w:rPr>
      </w:pPr>
      <w:r>
        <w:rPr>
          <w:rFonts w:ascii="Arial" w:eastAsia="Arial" w:hAnsi="Arial" w:cs="Arial"/>
          <w:color w:val="000000"/>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Pr>
          <w:rFonts w:ascii="Arial" w:eastAsia="Arial" w:hAnsi="Arial" w:cs="Arial"/>
          <w:i/>
          <w:iCs/>
          <w:color w:val="000000"/>
          <w:sz w:val="22"/>
          <w:szCs w:val="22"/>
        </w:rPr>
        <w:t xml:space="preserve">, </w:t>
      </w:r>
      <w:r>
        <w:rPr>
          <w:rFonts w:ascii="Arial" w:eastAsia="Arial" w:hAnsi="Arial" w:cs="Arial"/>
          <w:color w:val="000000"/>
          <w:sz w:val="22"/>
          <w:szCs w:val="22"/>
        </w:rPr>
        <w:t>o la culminación de la actuación administrativa de seguimiento, previo el siguiente:</w:t>
      </w:r>
    </w:p>
    <w:p w14:paraId="4D4D994D" w14:textId="77777777" w:rsidR="00113397" w:rsidRDefault="00113397">
      <w:pPr>
        <w:widowControl w:val="0"/>
        <w:ind w:right="-92"/>
        <w:jc w:val="both"/>
        <w:rPr>
          <w:rFonts w:ascii="Arial" w:eastAsia="Arial" w:hAnsi="Arial" w:cs="Arial"/>
          <w:color w:val="000000"/>
          <w:sz w:val="22"/>
          <w:szCs w:val="22"/>
        </w:rPr>
      </w:pPr>
    </w:p>
    <w:p w14:paraId="34FEEF26" w14:textId="77777777" w:rsidR="00113397" w:rsidRDefault="009C1503">
      <w:pPr>
        <w:jc w:val="center"/>
        <w:rPr>
          <w:rFonts w:ascii="Arial" w:eastAsia="Arial" w:hAnsi="Arial" w:cs="Arial"/>
          <w:b/>
          <w:bCs/>
          <w:color w:val="000000"/>
          <w:sz w:val="22"/>
          <w:szCs w:val="22"/>
        </w:rPr>
      </w:pPr>
      <w:r>
        <w:rPr>
          <w:rFonts w:ascii="Arial" w:eastAsia="Arial" w:hAnsi="Arial" w:cs="Arial"/>
          <w:b/>
          <w:bCs/>
          <w:color w:val="000000"/>
          <w:sz w:val="22"/>
          <w:szCs w:val="22"/>
        </w:rPr>
        <w:t>ANÁLISIS DEL DESPACHO</w:t>
      </w:r>
    </w:p>
    <w:p w14:paraId="332945EB" w14:textId="77777777" w:rsidR="00113397" w:rsidRDefault="00113397">
      <w:pPr>
        <w:rPr>
          <w:rFonts w:ascii="Arial" w:eastAsia="Arial" w:hAnsi="Arial" w:cs="Arial"/>
          <w:b/>
          <w:bCs/>
          <w:color w:val="000000"/>
          <w:sz w:val="22"/>
          <w:szCs w:val="22"/>
        </w:rPr>
      </w:pPr>
    </w:p>
    <w:p w14:paraId="516C1C4A" w14:textId="77777777" w:rsidR="00113397" w:rsidRDefault="009C1503">
      <w:pPr>
        <w:numPr>
          <w:ilvl w:val="0"/>
          <w:numId w:val="1"/>
        </w:num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FUNDAMENTO LEGAL</w:t>
      </w:r>
    </w:p>
    <w:p w14:paraId="3B862D82" w14:textId="77777777" w:rsidR="00113397" w:rsidRDefault="00113397">
      <w:pPr>
        <w:jc w:val="center"/>
        <w:rPr>
          <w:rFonts w:ascii="Arial" w:eastAsia="Arial" w:hAnsi="Arial" w:cs="Arial"/>
          <w:b/>
          <w:bCs/>
          <w:color w:val="000000"/>
          <w:sz w:val="22"/>
          <w:szCs w:val="22"/>
        </w:rPr>
      </w:pPr>
    </w:p>
    <w:p w14:paraId="258C99E9" w14:textId="77777777" w:rsidR="00113397" w:rsidRDefault="009C1503">
      <w:pPr>
        <w:jc w:val="both"/>
        <w:rPr>
          <w:rFonts w:ascii="Arial" w:eastAsia="Arial" w:hAnsi="Arial" w:cs="Arial"/>
          <w:b/>
          <w:bCs/>
          <w:color w:val="000000"/>
          <w:sz w:val="22"/>
          <w:szCs w:val="22"/>
        </w:rPr>
      </w:pPr>
      <w:r>
        <w:rPr>
          <w:rFonts w:ascii="Arial" w:eastAsia="Arial" w:hAnsi="Arial" w:cs="Arial"/>
          <w:color w:val="000000"/>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1DF956A4" w14:textId="77777777" w:rsidR="00113397" w:rsidRDefault="00113397">
      <w:pPr>
        <w:jc w:val="both"/>
        <w:rPr>
          <w:rFonts w:ascii="Arial" w:eastAsia="Arial" w:hAnsi="Arial" w:cs="Arial"/>
          <w:b/>
          <w:bCs/>
          <w:color w:val="000000"/>
          <w:sz w:val="22"/>
          <w:szCs w:val="22"/>
        </w:rPr>
      </w:pPr>
    </w:p>
    <w:p w14:paraId="017D80A3" w14:textId="77777777" w:rsidR="00113397" w:rsidRDefault="009C1503">
      <w:pPr>
        <w:jc w:val="both"/>
        <w:rPr>
          <w:rFonts w:ascii="Arial" w:eastAsia="Arial" w:hAnsi="Arial" w:cs="Arial"/>
          <w:b/>
          <w:bCs/>
          <w:color w:val="000000"/>
          <w:sz w:val="22"/>
          <w:szCs w:val="22"/>
        </w:rPr>
      </w:pPr>
      <w:r>
        <w:rPr>
          <w:rFonts w:ascii="Arial" w:eastAsia="Arial" w:hAnsi="Arial" w:cs="Arial"/>
          <w:sz w:val="22"/>
          <w:szCs w:val="22"/>
        </w:rPr>
        <w:t>Bajo este entendido, el parágrafo del artículo 111 del Decreto 653 de 2015 establece que la Subsecretaría de Inspección, Vigilancia y Control de Vivienda de la Secretaría Distrital del Hábitat, adelantará de oficio o a petición de parte las investigaciones administrativas por infracción a las normas que regulan el régimen de construcción y enajenación, autoconstrucción, arrendamiento e intermediación de vivienda, por lo que, en ejercicio de estas funciones, esta Entidad procedió a imponer sanción mediante la Resolución No. 1666 del 22 de julio de 2022</w:t>
      </w:r>
      <w:r>
        <w:rPr>
          <w:rFonts w:ascii="Arial" w:eastAsia="Arial" w:hAnsi="Arial" w:cs="Arial"/>
          <w:color w:val="000000"/>
          <w:sz w:val="22"/>
          <w:szCs w:val="22"/>
        </w:rPr>
        <w:t>, “</w:t>
      </w:r>
      <w:r>
        <w:rPr>
          <w:rFonts w:ascii="Arial" w:eastAsia="Arial" w:hAnsi="Arial" w:cs="Arial"/>
          <w:i/>
          <w:iCs/>
          <w:color w:val="000000"/>
          <w:sz w:val="22"/>
          <w:szCs w:val="22"/>
        </w:rPr>
        <w:t>Por la cual se impone una sanción y se imparte una orden</w:t>
      </w:r>
      <w:r>
        <w:rPr>
          <w:rFonts w:ascii="Arial" w:eastAsia="Arial" w:hAnsi="Arial" w:cs="Arial"/>
          <w:color w:val="000000"/>
          <w:sz w:val="22"/>
          <w:szCs w:val="22"/>
        </w:rPr>
        <w:t xml:space="preserve">”, a la sociedad enajenadora </w:t>
      </w:r>
      <w:r>
        <w:rPr>
          <w:rFonts w:ascii="Arial" w:eastAsia="Arial" w:hAnsi="Arial" w:cs="Arial"/>
          <w:sz w:val="22"/>
          <w:szCs w:val="22"/>
        </w:rPr>
        <w:t xml:space="preserve"> INVERSIONES ALCABAMA S.A</w:t>
      </w:r>
      <w:r>
        <w:rPr>
          <w:rFonts w:ascii="Arial" w:eastAsia="Arial" w:hAnsi="Arial" w:cs="Arial"/>
          <w:i/>
          <w:iCs/>
          <w:color w:val="000000"/>
          <w:sz w:val="22"/>
          <w:szCs w:val="22"/>
        </w:rPr>
        <w:t xml:space="preserve">, </w:t>
      </w:r>
      <w:r>
        <w:rPr>
          <w:rFonts w:ascii="Arial" w:eastAsia="Arial" w:hAnsi="Arial" w:cs="Arial"/>
          <w:color w:val="000000"/>
          <w:sz w:val="22"/>
          <w:szCs w:val="22"/>
        </w:rPr>
        <w:t>consistente en multa y orden de hacer.</w:t>
      </w:r>
    </w:p>
    <w:p w14:paraId="46BCA363" w14:textId="77777777" w:rsidR="00113397" w:rsidRDefault="00113397">
      <w:pPr>
        <w:jc w:val="both"/>
        <w:rPr>
          <w:rFonts w:ascii="Arial" w:eastAsia="Arial" w:hAnsi="Arial" w:cs="Arial"/>
          <w:b/>
          <w:bCs/>
          <w:color w:val="000000"/>
          <w:sz w:val="22"/>
          <w:szCs w:val="22"/>
        </w:rPr>
      </w:pPr>
    </w:p>
    <w:p w14:paraId="4DD4F351" w14:textId="77777777" w:rsidR="00113397" w:rsidRDefault="009C1503">
      <w:pPr>
        <w:jc w:val="both"/>
        <w:rPr>
          <w:rFonts w:ascii="Arial" w:eastAsia="Arial" w:hAnsi="Arial" w:cs="Arial"/>
          <w:b/>
          <w:bCs/>
          <w:color w:val="000000"/>
          <w:sz w:val="22"/>
          <w:szCs w:val="22"/>
        </w:rPr>
      </w:pPr>
      <w:r>
        <w:rPr>
          <w:rFonts w:ascii="Arial" w:eastAsia="Arial" w:hAnsi="Arial" w:cs="Arial"/>
          <w:color w:val="000000"/>
          <w:sz w:val="22"/>
          <w:szCs w:val="22"/>
        </w:rPr>
        <w:t xml:space="preserve">Ahora bien, señala el artículo 16 del Decreto Distrital 572 de 2015 que, una vez ejecutoriada la actuación que imponga una orden a los enajenadores responsables de un proyecto de vivienda, y superado el término dispuesto para su cumplimiento, se adelantará el </w:t>
      </w:r>
      <w:r>
        <w:rPr>
          <w:rFonts w:ascii="Arial" w:eastAsia="Arial" w:hAnsi="Arial" w:cs="Arial"/>
          <w:b/>
          <w:bCs/>
          <w:color w:val="000000"/>
          <w:sz w:val="22"/>
          <w:szCs w:val="22"/>
        </w:rPr>
        <w:t>SEGUIMIENTO A LA ORDEN</w:t>
      </w:r>
      <w:r>
        <w:rPr>
          <w:rFonts w:ascii="Arial" w:eastAsia="Arial" w:hAnsi="Arial" w:cs="Arial"/>
          <w:color w:val="000000"/>
          <w:sz w:val="22"/>
          <w:szCs w:val="22"/>
        </w:rPr>
        <w:t xml:space="preserve"> para corroborar el cumplimiento del acto administrativo que la impuso.</w:t>
      </w:r>
    </w:p>
    <w:p w14:paraId="7D87545F" w14:textId="77777777" w:rsidR="00113397" w:rsidRDefault="00113397">
      <w:pPr>
        <w:jc w:val="both"/>
        <w:rPr>
          <w:rFonts w:ascii="Arial" w:eastAsia="Arial" w:hAnsi="Arial" w:cs="Arial"/>
          <w:b/>
          <w:bCs/>
          <w:color w:val="000000"/>
          <w:sz w:val="22"/>
          <w:szCs w:val="22"/>
        </w:rPr>
      </w:pPr>
    </w:p>
    <w:p w14:paraId="4BBCBA92" w14:textId="77777777" w:rsidR="00113397" w:rsidRDefault="009C1503">
      <w:pPr>
        <w:jc w:val="both"/>
        <w:rPr>
          <w:rFonts w:ascii="Arial" w:eastAsia="Arial" w:hAnsi="Arial" w:cs="Arial"/>
          <w:b/>
          <w:bCs/>
          <w:color w:val="000000"/>
          <w:sz w:val="22"/>
          <w:szCs w:val="22"/>
        </w:rPr>
      </w:pPr>
      <w:r>
        <w:rPr>
          <w:rFonts w:ascii="Arial" w:eastAsia="Arial" w:hAnsi="Arial" w:cs="Arial"/>
          <w:color w:val="000000"/>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 a quinientos mil pesos ($500.000) M/cte., a las personas o entidades que </w:t>
      </w:r>
      <w:r>
        <w:rPr>
          <w:rFonts w:ascii="Arial" w:eastAsia="Arial" w:hAnsi="Arial" w:cs="Arial"/>
          <w:b/>
          <w:bCs/>
          <w:color w:val="000000"/>
          <w:sz w:val="22"/>
          <w:szCs w:val="22"/>
          <w:u w:val="single"/>
        </w:rPr>
        <w:t>incumplan las órdenes</w:t>
      </w:r>
      <w:r>
        <w:rPr>
          <w:rFonts w:ascii="Arial" w:eastAsia="Arial" w:hAnsi="Arial" w:cs="Arial"/>
          <w:color w:val="000000"/>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224E48D6" w14:textId="77777777" w:rsidR="00113397" w:rsidRDefault="00113397">
      <w:pPr>
        <w:jc w:val="both"/>
        <w:rPr>
          <w:rFonts w:ascii="Arial" w:eastAsia="Arial" w:hAnsi="Arial" w:cs="Arial"/>
          <w:b/>
          <w:bCs/>
          <w:color w:val="000000"/>
          <w:sz w:val="22"/>
          <w:szCs w:val="22"/>
        </w:rPr>
      </w:pPr>
    </w:p>
    <w:p w14:paraId="304CEC65" w14:textId="77777777" w:rsidR="00113397" w:rsidRDefault="009C1503">
      <w:pPr>
        <w:jc w:val="both"/>
        <w:rPr>
          <w:rFonts w:ascii="Arial" w:eastAsia="Arial" w:hAnsi="Arial" w:cs="Arial"/>
          <w:b/>
          <w:bCs/>
          <w:color w:val="000000"/>
          <w:sz w:val="22"/>
          <w:szCs w:val="22"/>
        </w:rPr>
      </w:pPr>
      <w:r>
        <w:rPr>
          <w:rFonts w:ascii="Arial" w:eastAsia="Arial" w:hAnsi="Arial" w:cs="Arial"/>
          <w:color w:val="000000"/>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1215B071" w14:textId="77777777" w:rsidR="00113397" w:rsidRDefault="00113397">
      <w:pPr>
        <w:jc w:val="both"/>
        <w:rPr>
          <w:rFonts w:ascii="Arial" w:eastAsia="Arial" w:hAnsi="Arial" w:cs="Arial"/>
          <w:b/>
          <w:bCs/>
          <w:color w:val="000000"/>
          <w:sz w:val="22"/>
          <w:szCs w:val="22"/>
        </w:rPr>
      </w:pPr>
    </w:p>
    <w:p w14:paraId="651E990B" w14:textId="77777777" w:rsidR="00113397" w:rsidRDefault="009C1503">
      <w:pPr>
        <w:jc w:val="both"/>
        <w:rPr>
          <w:rFonts w:ascii="Arial" w:eastAsia="Arial" w:hAnsi="Arial" w:cs="Arial"/>
          <w:b/>
          <w:bCs/>
          <w:color w:val="000000"/>
          <w:sz w:val="22"/>
          <w:szCs w:val="22"/>
        </w:rPr>
      </w:pPr>
      <w:r>
        <w:rPr>
          <w:rFonts w:ascii="Arial" w:eastAsia="Arial" w:hAnsi="Arial" w:cs="Arial"/>
          <w:color w:val="000000"/>
          <w:sz w:val="22"/>
          <w:szCs w:val="22"/>
        </w:rPr>
        <w:t xml:space="preserve">En concordancia con lo expresado, viendo que de las actuaciones adelantadas no se desprende causal de nulidad alguna en el procedimiento, procede este Despacho a realizar el estudio de los elementos probatorios recaudados por esta Dirección, sobre los hechos objeto de la orden de hacer contenidos en la </w:t>
      </w:r>
      <w:r>
        <w:rPr>
          <w:rFonts w:ascii="Arial" w:eastAsia="Arial" w:hAnsi="Arial" w:cs="Arial"/>
          <w:sz w:val="22"/>
          <w:szCs w:val="22"/>
        </w:rPr>
        <w:t>Resolución No. 1666 del 22 de julio de 2022</w:t>
      </w:r>
      <w:r>
        <w:rPr>
          <w:rFonts w:ascii="Arial" w:eastAsia="Arial" w:hAnsi="Arial" w:cs="Arial"/>
          <w:color w:val="000000"/>
          <w:sz w:val="22"/>
          <w:szCs w:val="22"/>
        </w:rPr>
        <w:t xml:space="preserve"> “</w:t>
      </w:r>
      <w:r>
        <w:rPr>
          <w:rFonts w:ascii="Arial" w:eastAsia="Arial" w:hAnsi="Arial" w:cs="Arial"/>
          <w:i/>
          <w:iCs/>
          <w:color w:val="000000"/>
          <w:sz w:val="22"/>
          <w:szCs w:val="22"/>
        </w:rPr>
        <w:t>Por la cual se impone una sanción y se imparte una orden</w:t>
      </w:r>
      <w:r>
        <w:rPr>
          <w:rFonts w:ascii="Arial" w:eastAsia="Arial" w:hAnsi="Arial" w:cs="Arial"/>
          <w:color w:val="000000"/>
          <w:sz w:val="22"/>
          <w:szCs w:val="22"/>
        </w:rPr>
        <w:t>” con el fin de determinar si existe mérito para imposición de nuevas multas o si se ha dado cumplimiento a la orden de hacer.</w:t>
      </w:r>
    </w:p>
    <w:p w14:paraId="61E22B76" w14:textId="77777777" w:rsidR="00113397" w:rsidRDefault="00113397">
      <w:pPr>
        <w:jc w:val="both"/>
        <w:rPr>
          <w:rFonts w:ascii="Arial" w:eastAsia="Arial" w:hAnsi="Arial" w:cs="Arial"/>
          <w:b/>
          <w:bCs/>
          <w:color w:val="000000"/>
          <w:sz w:val="22"/>
          <w:szCs w:val="22"/>
        </w:rPr>
      </w:pPr>
    </w:p>
    <w:p w14:paraId="3CAA405C" w14:textId="77777777" w:rsidR="00113397" w:rsidRDefault="009C1503">
      <w:pPr>
        <w:jc w:val="center"/>
        <w:rPr>
          <w:rFonts w:ascii="Arial" w:eastAsia="Arial" w:hAnsi="Arial" w:cs="Arial"/>
          <w:b/>
          <w:bCs/>
          <w:color w:val="000000"/>
          <w:sz w:val="22"/>
          <w:szCs w:val="22"/>
        </w:rPr>
      </w:pPr>
      <w:r>
        <w:rPr>
          <w:rFonts w:ascii="Arial" w:eastAsia="Arial" w:hAnsi="Arial" w:cs="Arial"/>
          <w:b/>
          <w:bCs/>
          <w:color w:val="000000"/>
          <w:sz w:val="22"/>
          <w:szCs w:val="22"/>
        </w:rPr>
        <w:t xml:space="preserve">ANÁLISIS PROBATORIO </w:t>
      </w:r>
    </w:p>
    <w:p w14:paraId="6A73D1E0" w14:textId="77777777" w:rsidR="00113397" w:rsidRDefault="00113397">
      <w:pPr>
        <w:jc w:val="both"/>
        <w:rPr>
          <w:rFonts w:ascii="Arial" w:eastAsia="Arial" w:hAnsi="Arial" w:cs="Arial"/>
          <w:b/>
          <w:bCs/>
          <w:color w:val="000000"/>
          <w:sz w:val="22"/>
          <w:szCs w:val="22"/>
        </w:rPr>
      </w:pPr>
      <w:bookmarkStart w:id="2" w:name="_heading=h.cat3natc13wk" w:colFirst="0" w:colLast="0"/>
      <w:bookmarkEnd w:id="2"/>
    </w:p>
    <w:p w14:paraId="78477103" w14:textId="22972F69" w:rsidR="00113397" w:rsidRDefault="009C1503">
      <w:pPr>
        <w:jc w:val="both"/>
        <w:rPr>
          <w:rFonts w:ascii="Arial" w:eastAsia="Arial" w:hAnsi="Arial" w:cs="Arial"/>
          <w:sz w:val="22"/>
          <w:szCs w:val="22"/>
        </w:rPr>
      </w:pPr>
      <w:r>
        <w:rPr>
          <w:rFonts w:ascii="Arial" w:eastAsia="Arial" w:hAnsi="Arial" w:cs="Arial"/>
          <w:color w:val="000000"/>
          <w:sz w:val="22"/>
          <w:szCs w:val="22"/>
        </w:rPr>
        <w:t xml:space="preserve">Como se ha establecido, dentro de la actuación administrativa obra </w:t>
      </w:r>
      <w:r>
        <w:rPr>
          <w:rFonts w:ascii="Arial" w:eastAsia="Arial" w:hAnsi="Arial" w:cs="Arial"/>
          <w:sz w:val="22"/>
          <w:szCs w:val="22"/>
        </w:rPr>
        <w:t>verificación</w:t>
      </w:r>
      <w:r>
        <w:rPr>
          <w:rFonts w:ascii="Arial" w:eastAsia="Arial" w:hAnsi="Arial" w:cs="Arial"/>
          <w:color w:val="000000"/>
          <w:sz w:val="22"/>
          <w:szCs w:val="22"/>
        </w:rPr>
        <w:t xml:space="preserve"> de cumplimiento de la </w:t>
      </w:r>
      <w:r>
        <w:rPr>
          <w:rFonts w:ascii="Arial" w:eastAsia="Arial" w:hAnsi="Arial" w:cs="Arial"/>
          <w:sz w:val="22"/>
          <w:szCs w:val="22"/>
        </w:rPr>
        <w:t>Resolución No. 1666 del 22 de julio de 2022</w:t>
      </w:r>
      <w:r w:rsidR="00637D4D">
        <w:rPr>
          <w:rFonts w:ascii="Arial" w:eastAsia="Arial" w:hAnsi="Arial" w:cs="Arial"/>
          <w:color w:val="000000"/>
          <w:sz w:val="22"/>
          <w:szCs w:val="22"/>
        </w:rPr>
        <w:t xml:space="preserve"> </w:t>
      </w:r>
      <w:r>
        <w:rPr>
          <w:rFonts w:ascii="Arial" w:eastAsia="Arial" w:hAnsi="Arial" w:cs="Arial"/>
          <w:color w:val="000000"/>
          <w:sz w:val="22"/>
          <w:szCs w:val="22"/>
        </w:rPr>
        <w:t>“</w:t>
      </w:r>
      <w:r>
        <w:rPr>
          <w:rFonts w:ascii="Arial" w:eastAsia="Arial" w:hAnsi="Arial" w:cs="Arial"/>
          <w:i/>
          <w:iCs/>
          <w:color w:val="000000"/>
          <w:sz w:val="22"/>
          <w:szCs w:val="22"/>
        </w:rPr>
        <w:t>Por la cual se impone una sanción y se imparte una orden</w:t>
      </w:r>
      <w:r>
        <w:rPr>
          <w:rFonts w:ascii="Arial" w:eastAsia="Arial" w:hAnsi="Arial" w:cs="Arial"/>
          <w:color w:val="000000"/>
          <w:sz w:val="22"/>
          <w:szCs w:val="22"/>
        </w:rPr>
        <w:t>” pues</w:t>
      </w:r>
      <w:r>
        <w:rPr>
          <w:rFonts w:ascii="Arial" w:eastAsia="Arial" w:hAnsi="Arial" w:cs="Arial"/>
          <w:sz w:val="22"/>
          <w:szCs w:val="22"/>
        </w:rPr>
        <w:t xml:space="preserve">, el Informe de Verificación de Hechos No. 25-526 del 27 de octubre de 2025 encontró los siguientes hallazgos: </w:t>
      </w:r>
    </w:p>
    <w:p w14:paraId="67C77CD8" w14:textId="77777777" w:rsidR="00113397" w:rsidRDefault="00113397">
      <w:pPr>
        <w:jc w:val="both"/>
        <w:rPr>
          <w:rFonts w:ascii="Arial" w:eastAsia="Arial" w:hAnsi="Arial" w:cs="Arial"/>
          <w:sz w:val="22"/>
          <w:szCs w:val="22"/>
        </w:rPr>
      </w:pPr>
    </w:p>
    <w:p w14:paraId="6B0D54F1" w14:textId="77777777" w:rsidR="00113397" w:rsidRPr="00514FF4" w:rsidRDefault="009C1503">
      <w:pPr>
        <w:spacing w:line="276" w:lineRule="auto"/>
        <w:ind w:left="720"/>
        <w:jc w:val="both"/>
        <w:rPr>
          <w:rFonts w:ascii="Arial" w:eastAsia="Arial" w:hAnsi="Arial" w:cs="Arial"/>
          <w:i/>
          <w:iCs/>
          <w:sz w:val="21"/>
          <w:szCs w:val="21"/>
        </w:rPr>
      </w:pPr>
      <w:r>
        <w:rPr>
          <w:rFonts w:ascii="Arial" w:eastAsia="Arial" w:hAnsi="Arial" w:cs="Arial"/>
          <w:i/>
          <w:iCs/>
          <w:sz w:val="22"/>
          <w:szCs w:val="22"/>
        </w:rPr>
        <w:t>“</w:t>
      </w:r>
      <w:r w:rsidRPr="00514FF4">
        <w:rPr>
          <w:rFonts w:ascii="Arial" w:eastAsia="Arial" w:hAnsi="Arial" w:cs="Arial"/>
          <w:i/>
          <w:iCs/>
          <w:sz w:val="21"/>
          <w:szCs w:val="21"/>
        </w:rPr>
        <w:t>1. FISURAS EN ENCHAPES BAÑOS Y COCINA</w:t>
      </w:r>
    </w:p>
    <w:p w14:paraId="79807FA8" w14:textId="77777777" w:rsidR="00113397" w:rsidRPr="00514FF4" w:rsidRDefault="009C1503">
      <w:pPr>
        <w:spacing w:line="276" w:lineRule="auto"/>
        <w:ind w:left="720"/>
        <w:jc w:val="both"/>
        <w:rPr>
          <w:rFonts w:ascii="Arial" w:eastAsia="Arial" w:hAnsi="Arial" w:cs="Arial"/>
          <w:b/>
          <w:bCs/>
          <w:i/>
          <w:iCs/>
          <w:sz w:val="21"/>
          <w:szCs w:val="21"/>
          <w:u w:val="single"/>
        </w:rPr>
      </w:pPr>
      <w:r w:rsidRPr="00514FF4">
        <w:rPr>
          <w:rFonts w:ascii="Arial" w:eastAsia="Arial" w:hAnsi="Arial" w:cs="Arial"/>
          <w:i/>
          <w:iCs/>
          <w:sz w:val="21"/>
          <w:szCs w:val="21"/>
        </w:rPr>
        <w:t>Se inicia el recorrido de la visita, en compañía de las partes, se evidencia que hubo intervención en todas las afectaciones, al respecto la propietaria manifiesta que realizó intervención de todas las afectaciones hace aproximadamente 2 años Durante la visita se pudo apreciar que no se evidencia afectación alguna al momento de esta por lo cual la afectación</w:t>
      </w:r>
      <w:r w:rsidRPr="00514FF4">
        <w:rPr>
          <w:rFonts w:ascii="Arial" w:eastAsia="Arial" w:hAnsi="Arial" w:cs="Arial"/>
          <w:b/>
          <w:bCs/>
          <w:i/>
          <w:iCs/>
          <w:sz w:val="21"/>
          <w:szCs w:val="21"/>
        </w:rPr>
        <w:t xml:space="preserve"> </w:t>
      </w:r>
      <w:r w:rsidRPr="00514FF4">
        <w:rPr>
          <w:rFonts w:ascii="Arial" w:eastAsia="Arial" w:hAnsi="Arial" w:cs="Arial"/>
          <w:b/>
          <w:bCs/>
          <w:i/>
          <w:iCs/>
          <w:sz w:val="21"/>
          <w:szCs w:val="21"/>
          <w:u w:val="single"/>
        </w:rPr>
        <w:t>NO PERSISTE.</w:t>
      </w:r>
    </w:p>
    <w:p w14:paraId="51AE55A1" w14:textId="77777777" w:rsidR="00113397" w:rsidRPr="00514FF4" w:rsidRDefault="009C1503">
      <w:pPr>
        <w:spacing w:line="276" w:lineRule="auto"/>
        <w:ind w:left="720"/>
        <w:jc w:val="both"/>
        <w:rPr>
          <w:rFonts w:ascii="Arial" w:eastAsia="Arial" w:hAnsi="Arial" w:cs="Arial"/>
          <w:i/>
          <w:iCs/>
          <w:sz w:val="21"/>
          <w:szCs w:val="21"/>
        </w:rPr>
      </w:pPr>
      <w:r w:rsidRPr="00514FF4">
        <w:rPr>
          <w:rFonts w:ascii="Arial" w:eastAsia="Arial" w:hAnsi="Arial" w:cs="Arial"/>
          <w:i/>
          <w:iCs/>
          <w:sz w:val="21"/>
          <w:szCs w:val="21"/>
        </w:rPr>
        <w:t>.</w:t>
      </w:r>
    </w:p>
    <w:p w14:paraId="2817D63C" w14:textId="77777777" w:rsidR="00113397" w:rsidRPr="00514FF4" w:rsidRDefault="009C1503">
      <w:pPr>
        <w:spacing w:line="276" w:lineRule="auto"/>
        <w:ind w:left="720"/>
        <w:jc w:val="both"/>
        <w:rPr>
          <w:rFonts w:ascii="Arial" w:eastAsia="Arial" w:hAnsi="Arial" w:cs="Arial"/>
          <w:i/>
          <w:iCs/>
          <w:sz w:val="21"/>
          <w:szCs w:val="21"/>
        </w:rPr>
      </w:pPr>
      <w:r w:rsidRPr="00514FF4">
        <w:rPr>
          <w:rFonts w:ascii="Arial" w:eastAsia="Arial" w:hAnsi="Arial" w:cs="Arial"/>
          <w:i/>
          <w:iCs/>
          <w:sz w:val="21"/>
          <w:szCs w:val="21"/>
        </w:rPr>
        <w:t>2. FISURAS EN MUROS Y TECHOS CON DESPRENDIMIENTO DE PINTURA</w:t>
      </w:r>
    </w:p>
    <w:p w14:paraId="35827FFC" w14:textId="77777777" w:rsidR="00113397" w:rsidRPr="00514FF4" w:rsidRDefault="009C1503">
      <w:pPr>
        <w:spacing w:line="276" w:lineRule="auto"/>
        <w:ind w:left="720"/>
        <w:jc w:val="both"/>
        <w:rPr>
          <w:rFonts w:ascii="Arial" w:eastAsia="Arial" w:hAnsi="Arial" w:cs="Arial"/>
          <w:i/>
          <w:iCs/>
          <w:sz w:val="21"/>
          <w:szCs w:val="21"/>
        </w:rPr>
      </w:pPr>
      <w:r w:rsidRPr="00514FF4">
        <w:rPr>
          <w:rFonts w:ascii="Arial" w:eastAsia="Arial" w:hAnsi="Arial" w:cs="Arial"/>
          <w:i/>
          <w:iCs/>
          <w:sz w:val="21"/>
          <w:szCs w:val="21"/>
        </w:rPr>
        <w:t>(HABITACIONES Y SALA). 3. FISURAS EN ANTEPECHOS</w:t>
      </w:r>
    </w:p>
    <w:p w14:paraId="6A74A542" w14:textId="77777777" w:rsidR="00113397" w:rsidRPr="00514FF4" w:rsidRDefault="009C1503">
      <w:pPr>
        <w:spacing w:line="276" w:lineRule="auto"/>
        <w:ind w:left="720"/>
        <w:jc w:val="both"/>
        <w:rPr>
          <w:rFonts w:ascii="Arial" w:eastAsia="Arial" w:hAnsi="Arial" w:cs="Arial"/>
          <w:sz w:val="21"/>
          <w:szCs w:val="21"/>
        </w:rPr>
      </w:pPr>
      <w:r w:rsidRPr="00514FF4">
        <w:rPr>
          <w:rFonts w:ascii="Arial" w:eastAsia="Arial" w:hAnsi="Arial" w:cs="Arial"/>
          <w:i/>
          <w:iCs/>
          <w:sz w:val="21"/>
          <w:szCs w:val="21"/>
        </w:rPr>
        <w:t>Debido a que en el informe anterior estos 2 puntos se trataron en simultáneo, se hará lo mismo en el desarrollo del presente informe con el ánimo de guardar correlación y uniformidad con el informe anterior. Al momento de la visita y realizar el recorrido y las diferentes comprobaciones, se evidencia que, las afectaciones no se aprecian razón por la cual la conclusión para el punto 2 y 3 es que la afectación</w:t>
      </w:r>
      <w:r w:rsidRPr="00514FF4">
        <w:rPr>
          <w:rFonts w:ascii="Arial" w:eastAsia="Arial" w:hAnsi="Arial" w:cs="Arial"/>
          <w:b/>
          <w:bCs/>
          <w:i/>
          <w:iCs/>
          <w:sz w:val="21"/>
          <w:szCs w:val="21"/>
        </w:rPr>
        <w:t xml:space="preserve"> </w:t>
      </w:r>
      <w:r w:rsidRPr="00514FF4">
        <w:rPr>
          <w:rFonts w:ascii="Arial" w:eastAsia="Arial" w:hAnsi="Arial" w:cs="Arial"/>
          <w:b/>
          <w:bCs/>
          <w:i/>
          <w:iCs/>
          <w:sz w:val="21"/>
          <w:szCs w:val="21"/>
          <w:u w:val="single"/>
        </w:rPr>
        <w:t>NO PERSISTE.”</w:t>
      </w:r>
    </w:p>
    <w:p w14:paraId="54F5C891" w14:textId="77777777" w:rsidR="00514FF4" w:rsidRDefault="00514FF4" w:rsidP="00514FF4">
      <w:pPr>
        <w:widowControl w:val="0"/>
        <w:autoSpaceDE w:val="0"/>
        <w:autoSpaceDN w:val="0"/>
        <w:adjustRightInd w:val="0"/>
        <w:jc w:val="both"/>
        <w:rPr>
          <w:rFonts w:ascii="Arial" w:hAnsi="Arial" w:cs="Arial"/>
          <w:sz w:val="22"/>
          <w:szCs w:val="22"/>
        </w:rPr>
      </w:pPr>
    </w:p>
    <w:p w14:paraId="2A794E78" w14:textId="25572D6B" w:rsidR="00514FF4" w:rsidRPr="00837D00" w:rsidRDefault="00514FF4" w:rsidP="00514FF4">
      <w:pPr>
        <w:widowControl w:val="0"/>
        <w:autoSpaceDE w:val="0"/>
        <w:autoSpaceDN w:val="0"/>
        <w:adjustRightInd w:val="0"/>
        <w:jc w:val="both"/>
        <w:rPr>
          <w:rFonts w:ascii="Arial" w:hAnsi="Arial" w:cs="Arial"/>
          <w:bCs/>
          <w:sz w:val="22"/>
          <w:szCs w:val="22"/>
        </w:rPr>
      </w:pPr>
      <w:r w:rsidRPr="00837D00">
        <w:rPr>
          <w:rFonts w:ascii="Arial" w:hAnsi="Arial" w:cs="Arial"/>
          <w:sz w:val="22"/>
          <w:szCs w:val="22"/>
        </w:rPr>
        <w:t xml:space="preserve">Así las cosas, este Despacho concluye que, habiéndose realizado el acta de visita técnica, en el cual se acredita el cumplimiento de la orden de hacer. En consecuencia, se entiende cumplida la orden de hacer impartida en la </w:t>
      </w:r>
      <w:r>
        <w:rPr>
          <w:rFonts w:ascii="Arial" w:eastAsia="Arial" w:hAnsi="Arial" w:cs="Arial"/>
          <w:sz w:val="22"/>
          <w:szCs w:val="22"/>
        </w:rPr>
        <w:t>Resolución No. 1666 del 22 de julio de 2022</w:t>
      </w:r>
      <w:r>
        <w:rPr>
          <w:rFonts w:ascii="Arial" w:eastAsia="Arial" w:hAnsi="Arial" w:cs="Arial"/>
          <w:color w:val="000000"/>
          <w:sz w:val="22"/>
          <w:szCs w:val="22"/>
        </w:rPr>
        <w:t>, "</w:t>
      </w:r>
      <w:r>
        <w:rPr>
          <w:rFonts w:ascii="Arial" w:eastAsia="Arial" w:hAnsi="Arial" w:cs="Arial"/>
          <w:i/>
          <w:iCs/>
          <w:color w:val="000000"/>
          <w:sz w:val="22"/>
          <w:szCs w:val="22"/>
        </w:rPr>
        <w:t>Por la cual se impone una sanción y se imparte una orden</w:t>
      </w:r>
      <w:r>
        <w:rPr>
          <w:rFonts w:ascii="Arial" w:eastAsia="Arial" w:hAnsi="Arial" w:cs="Arial"/>
          <w:color w:val="000000"/>
          <w:sz w:val="22"/>
          <w:szCs w:val="22"/>
        </w:rPr>
        <w:t>"</w:t>
      </w:r>
      <w:r w:rsidRPr="00837D00">
        <w:rPr>
          <w:rFonts w:ascii="Arial" w:hAnsi="Arial" w:cs="Arial"/>
          <w:sz w:val="22"/>
          <w:szCs w:val="22"/>
        </w:rPr>
        <w:t>, por lo cual no resulta necesario adelantar nuevas actuaciones de seguimiento.</w:t>
      </w:r>
    </w:p>
    <w:p w14:paraId="0AC41A6D" w14:textId="77777777" w:rsidR="00514FF4" w:rsidRPr="00837D00" w:rsidRDefault="00514FF4" w:rsidP="00514FF4">
      <w:pPr>
        <w:widowControl w:val="0"/>
        <w:autoSpaceDE w:val="0"/>
        <w:autoSpaceDN w:val="0"/>
        <w:adjustRightInd w:val="0"/>
        <w:jc w:val="both"/>
        <w:rPr>
          <w:rFonts w:ascii="Arial" w:hAnsi="Arial" w:cs="Arial"/>
          <w:sz w:val="22"/>
          <w:szCs w:val="22"/>
        </w:rPr>
      </w:pPr>
    </w:p>
    <w:p w14:paraId="2036905B" w14:textId="77777777" w:rsidR="00514FF4" w:rsidRPr="00837D00" w:rsidRDefault="00514FF4" w:rsidP="00514FF4">
      <w:pPr>
        <w:widowControl w:val="0"/>
        <w:tabs>
          <w:tab w:val="left" w:pos="3800"/>
        </w:tabs>
        <w:autoSpaceDE w:val="0"/>
        <w:autoSpaceDN w:val="0"/>
        <w:adjustRightInd w:val="0"/>
        <w:jc w:val="both"/>
        <w:rPr>
          <w:rFonts w:ascii="Arial" w:hAnsi="Arial" w:cs="Arial"/>
          <w:color w:val="000000"/>
          <w:sz w:val="22"/>
          <w:szCs w:val="22"/>
          <w:lang w:val="es"/>
        </w:rPr>
      </w:pPr>
      <w:r w:rsidRPr="00837D00">
        <w:rPr>
          <w:rFonts w:ascii="Arial" w:hAnsi="Arial" w:cs="Arial"/>
          <w:color w:val="000000"/>
          <w:sz w:val="22"/>
          <w:szCs w:val="22"/>
          <w:lang w:val="es"/>
        </w:rPr>
        <w:lastRenderedPageBreak/>
        <w:t xml:space="preserve">Ahora bien, se precisa que, de conformidad con lo previsto en el artículo 5 del Decreto 572 de 2025, la visita técnica tiene como finalidad </w:t>
      </w:r>
      <w:r w:rsidRPr="00837D00">
        <w:rPr>
          <w:rFonts w:ascii="Arial" w:hAnsi="Arial" w:cs="Arial"/>
          <w:i/>
          <w:iCs/>
          <w:color w:val="000000"/>
          <w:sz w:val="22"/>
          <w:szCs w:val="22"/>
          <w:lang w:val="es"/>
        </w:rPr>
        <w:t xml:space="preserve">“(…) </w:t>
      </w:r>
      <w:r w:rsidRPr="00837D00">
        <w:rPr>
          <w:rFonts w:ascii="Arial" w:hAnsi="Arial" w:cs="Arial"/>
          <w:b/>
          <w:bCs/>
          <w:i/>
          <w:iCs/>
          <w:color w:val="000000"/>
          <w:sz w:val="22"/>
          <w:szCs w:val="22"/>
          <w:u w:val="single"/>
          <w:lang w:val="es"/>
        </w:rPr>
        <w:t>verificar los hechos de la queja</w:t>
      </w:r>
      <w:r w:rsidRPr="00837D00">
        <w:rPr>
          <w:rFonts w:ascii="Arial" w:hAnsi="Arial" w:cs="Arial"/>
          <w:i/>
          <w:iCs/>
          <w:color w:val="000000"/>
          <w:sz w:val="22"/>
          <w:szCs w:val="22"/>
          <w:lang w:val="es"/>
        </w:rPr>
        <w:t xml:space="preserve">, los denunciados durante la visita y aquellos que incorpore el servidor encargado, en cumplimiento de las facultades oficiosas de la entidad” </w:t>
      </w:r>
      <w:r w:rsidRPr="00837D00">
        <w:rPr>
          <w:rFonts w:ascii="Arial" w:hAnsi="Arial" w:cs="Arial"/>
          <w:color w:val="000000"/>
          <w:sz w:val="22"/>
          <w:szCs w:val="22"/>
          <w:lang w:val="es"/>
        </w:rPr>
        <w:t xml:space="preserve">(Negrillas y subrayas por fuera del texto original). Adicionalmente, en el acta respectiva se consignan </w:t>
      </w:r>
      <w:r w:rsidRPr="00837D00">
        <w:rPr>
          <w:rFonts w:ascii="Arial" w:hAnsi="Arial" w:cs="Arial"/>
          <w:i/>
          <w:iCs/>
          <w:color w:val="000000"/>
          <w:sz w:val="22"/>
          <w:szCs w:val="22"/>
          <w:lang w:val="es"/>
        </w:rPr>
        <w:t xml:space="preserve">“(…) la totalidad de los hechos </w:t>
      </w:r>
      <w:r w:rsidRPr="00837D00">
        <w:rPr>
          <w:rFonts w:ascii="Arial" w:hAnsi="Arial" w:cs="Arial"/>
          <w:b/>
          <w:bCs/>
          <w:i/>
          <w:iCs/>
          <w:color w:val="000000"/>
          <w:sz w:val="22"/>
          <w:szCs w:val="22"/>
          <w:u w:val="single"/>
          <w:lang w:val="es"/>
        </w:rPr>
        <w:t>constatados</w:t>
      </w:r>
      <w:r w:rsidRPr="00837D00">
        <w:rPr>
          <w:rFonts w:ascii="Arial" w:hAnsi="Arial" w:cs="Arial"/>
          <w:i/>
          <w:iCs/>
          <w:color w:val="000000"/>
          <w:sz w:val="22"/>
          <w:szCs w:val="22"/>
          <w:lang w:val="es"/>
        </w:rPr>
        <w:t xml:space="preserve">” </w:t>
      </w:r>
      <w:r w:rsidRPr="00837D00">
        <w:rPr>
          <w:rFonts w:ascii="Arial" w:hAnsi="Arial" w:cs="Arial"/>
          <w:color w:val="000000"/>
          <w:sz w:val="22"/>
          <w:szCs w:val="22"/>
          <w:lang w:val="es"/>
        </w:rPr>
        <w:t>(Negrillas y subrayas por fuera del texto original) y, se elabora un informe técnico sobre los hallazgos encontrados con base en dicha acta.</w:t>
      </w:r>
    </w:p>
    <w:p w14:paraId="684CB4D8" w14:textId="77777777" w:rsidR="00514FF4" w:rsidRPr="00837D00" w:rsidRDefault="00514FF4" w:rsidP="00514FF4">
      <w:pPr>
        <w:widowControl w:val="0"/>
        <w:autoSpaceDE w:val="0"/>
        <w:autoSpaceDN w:val="0"/>
        <w:adjustRightInd w:val="0"/>
        <w:jc w:val="both"/>
        <w:rPr>
          <w:rFonts w:ascii="Arial" w:hAnsi="Arial" w:cs="Arial"/>
          <w:color w:val="000000"/>
          <w:sz w:val="22"/>
          <w:szCs w:val="22"/>
          <w:lang w:val="es"/>
        </w:rPr>
      </w:pPr>
    </w:p>
    <w:p w14:paraId="61C2AEBD" w14:textId="2BA22F2A" w:rsidR="00514FF4" w:rsidRPr="00837D00" w:rsidRDefault="00514FF4" w:rsidP="00514FF4">
      <w:pPr>
        <w:widowControl w:val="0"/>
        <w:tabs>
          <w:tab w:val="left" w:pos="3800"/>
        </w:tabs>
        <w:autoSpaceDE w:val="0"/>
        <w:autoSpaceDN w:val="0"/>
        <w:adjustRightInd w:val="0"/>
        <w:jc w:val="both"/>
        <w:rPr>
          <w:rFonts w:ascii="Arial" w:hAnsi="Arial" w:cs="Arial"/>
          <w:sz w:val="22"/>
          <w:szCs w:val="22"/>
        </w:rPr>
      </w:pPr>
      <w:r w:rsidRPr="00837D00">
        <w:rPr>
          <w:rFonts w:ascii="Arial" w:hAnsi="Arial" w:cs="Arial"/>
          <w:sz w:val="22"/>
          <w:szCs w:val="22"/>
        </w:rPr>
        <w:t>Así pues, dado que, en el informe técnico, como se ha indicado, se consignan los hechos constatados durante la visita realizada por el profesional designado, este se constituye en una prueba conducente, pertinente y útil, y por tanto demostrativa de los hallazgos allí consignados, con la identificación de sus características, estado, causas, intervenciones y demás detalles técnicos observados; lo anterior, aun cuando el quejoso no asistió a la diligencia programada.</w:t>
      </w:r>
    </w:p>
    <w:p w14:paraId="04B67490" w14:textId="77777777" w:rsidR="00514FF4" w:rsidRPr="00837D00" w:rsidRDefault="00514FF4" w:rsidP="00514FF4">
      <w:pPr>
        <w:widowControl w:val="0"/>
        <w:tabs>
          <w:tab w:val="left" w:pos="3800"/>
        </w:tabs>
        <w:autoSpaceDE w:val="0"/>
        <w:autoSpaceDN w:val="0"/>
        <w:adjustRightInd w:val="0"/>
        <w:jc w:val="both"/>
        <w:rPr>
          <w:rFonts w:ascii="Arial" w:hAnsi="Arial" w:cs="Arial"/>
          <w:sz w:val="22"/>
          <w:szCs w:val="22"/>
          <w:lang w:val="es"/>
        </w:rPr>
      </w:pPr>
    </w:p>
    <w:p w14:paraId="66A25B01" w14:textId="77777777" w:rsidR="00514FF4" w:rsidRPr="00837D00" w:rsidRDefault="00514FF4" w:rsidP="00514FF4">
      <w:pPr>
        <w:widowControl w:val="0"/>
        <w:tabs>
          <w:tab w:val="left" w:pos="3800"/>
        </w:tabs>
        <w:autoSpaceDE w:val="0"/>
        <w:autoSpaceDN w:val="0"/>
        <w:adjustRightInd w:val="0"/>
        <w:jc w:val="both"/>
        <w:rPr>
          <w:rFonts w:ascii="Arial" w:hAnsi="Arial" w:cs="Arial"/>
          <w:sz w:val="22"/>
          <w:szCs w:val="22"/>
          <w:lang w:val="es"/>
        </w:rPr>
      </w:pPr>
      <w:r w:rsidRPr="00837D00">
        <w:rPr>
          <w:rFonts w:ascii="Arial" w:hAnsi="Arial" w:cs="Arial"/>
          <w:sz w:val="22"/>
          <w:szCs w:val="22"/>
          <w:lang w:val="es"/>
        </w:rPr>
        <w:t>Siendo así, en tanto el objetivo de las visitas técnicas se orienta a la verificación de los hechos de la investigación, el informe de verificación de hechos se constituye en material probatorio de base y respaldo para la toma de la decisión a cargo del Despacho de imponer multas sucesivas o, en su defecto, ordenar la culminación de la actuación administrativa que inició con el incumplimiento de la orden de hacer</w:t>
      </w:r>
    </w:p>
    <w:p w14:paraId="7D8A1305" w14:textId="77777777" w:rsidR="00514FF4" w:rsidRPr="00837D00" w:rsidRDefault="00514FF4" w:rsidP="00514FF4">
      <w:pPr>
        <w:widowControl w:val="0"/>
        <w:tabs>
          <w:tab w:val="left" w:pos="3800"/>
        </w:tabs>
        <w:autoSpaceDE w:val="0"/>
        <w:autoSpaceDN w:val="0"/>
        <w:adjustRightInd w:val="0"/>
        <w:jc w:val="both"/>
        <w:rPr>
          <w:rFonts w:ascii="Arial" w:hAnsi="Arial" w:cs="Arial"/>
          <w:sz w:val="22"/>
          <w:szCs w:val="22"/>
          <w:lang w:val="es"/>
        </w:rPr>
      </w:pPr>
    </w:p>
    <w:p w14:paraId="3508A8F8" w14:textId="042ACB28" w:rsidR="00514FF4" w:rsidRPr="00837D00" w:rsidRDefault="00514FF4" w:rsidP="00514FF4">
      <w:pPr>
        <w:widowControl w:val="0"/>
        <w:tabs>
          <w:tab w:val="left" w:pos="3800"/>
        </w:tabs>
        <w:autoSpaceDE w:val="0"/>
        <w:autoSpaceDN w:val="0"/>
        <w:adjustRightInd w:val="0"/>
        <w:jc w:val="both"/>
        <w:rPr>
          <w:rFonts w:ascii="Arial" w:hAnsi="Arial" w:cs="Arial"/>
          <w:sz w:val="22"/>
          <w:szCs w:val="22"/>
        </w:rPr>
      </w:pPr>
      <w:r w:rsidRPr="00837D00">
        <w:rPr>
          <w:rFonts w:ascii="Arial" w:hAnsi="Arial" w:cs="Arial"/>
          <w:sz w:val="22"/>
          <w:szCs w:val="22"/>
          <w:lang w:val="es"/>
        </w:rPr>
        <w:t>En el presente caso, el informe de verificación de hechos No.</w:t>
      </w:r>
      <w:r w:rsidRPr="00514FF4">
        <w:rPr>
          <w:rFonts w:ascii="Arial" w:eastAsia="Arial" w:hAnsi="Arial" w:cs="Arial"/>
          <w:sz w:val="22"/>
          <w:szCs w:val="22"/>
        </w:rPr>
        <w:t xml:space="preserve"> </w:t>
      </w:r>
      <w:r>
        <w:rPr>
          <w:rFonts w:ascii="Arial" w:eastAsia="Arial" w:hAnsi="Arial" w:cs="Arial"/>
          <w:sz w:val="22"/>
          <w:szCs w:val="22"/>
        </w:rPr>
        <w:t>25-526 del 27 de octubre de 2025</w:t>
      </w:r>
      <w:r w:rsidRPr="00837D00">
        <w:rPr>
          <w:rFonts w:ascii="Arial" w:hAnsi="Arial" w:cs="Arial"/>
          <w:sz w:val="22"/>
          <w:szCs w:val="22"/>
          <w:lang w:val="es"/>
        </w:rPr>
        <w:t>,</w:t>
      </w:r>
      <w:r w:rsidRPr="00837D00">
        <w:rPr>
          <w:rFonts w:ascii="Arial" w:hAnsi="Arial" w:cs="Arial"/>
          <w:sz w:val="22"/>
          <w:szCs w:val="22"/>
        </w:rPr>
        <w:t xml:space="preserve"> Contiene los elementos necesarios para dotar de convicción al Despacho en el sentido de que no es procedente continuar con el proceso de seguimiento, toda vez que el quejoso no se presentó dentro de la presente actuación administrativa, lo que impide dar trámite adicional a la misma, por falta de colaboración de alguna de las partes. </w:t>
      </w:r>
    </w:p>
    <w:p w14:paraId="2846F934" w14:textId="77777777" w:rsidR="00514FF4" w:rsidRPr="00837D00" w:rsidRDefault="00514FF4" w:rsidP="00514FF4">
      <w:pPr>
        <w:widowControl w:val="0"/>
        <w:tabs>
          <w:tab w:val="left" w:pos="3800"/>
        </w:tabs>
        <w:autoSpaceDE w:val="0"/>
        <w:autoSpaceDN w:val="0"/>
        <w:adjustRightInd w:val="0"/>
        <w:jc w:val="both"/>
        <w:rPr>
          <w:rFonts w:ascii="Arial" w:hAnsi="Arial" w:cs="Arial"/>
          <w:sz w:val="22"/>
          <w:szCs w:val="22"/>
          <w:lang w:val="es"/>
        </w:rPr>
      </w:pPr>
    </w:p>
    <w:p w14:paraId="45D301D4" w14:textId="6CBEDD2A" w:rsidR="00514FF4" w:rsidRPr="00837D00" w:rsidRDefault="00514FF4" w:rsidP="00514FF4">
      <w:pPr>
        <w:widowControl w:val="0"/>
        <w:autoSpaceDE w:val="0"/>
        <w:autoSpaceDN w:val="0"/>
        <w:adjustRightInd w:val="0"/>
        <w:jc w:val="both"/>
        <w:rPr>
          <w:rFonts w:ascii="Arial" w:hAnsi="Arial" w:cs="Arial"/>
          <w:sz w:val="22"/>
          <w:szCs w:val="22"/>
          <w:lang w:val="es"/>
        </w:rPr>
      </w:pPr>
      <w:r w:rsidRPr="00837D00">
        <w:rPr>
          <w:rFonts w:ascii="Arial" w:hAnsi="Arial" w:cs="Arial"/>
          <w:sz w:val="22"/>
          <w:szCs w:val="22"/>
        </w:rPr>
        <w:t xml:space="preserve">En consecuencia, por las razones que se acaban de señalar, y en ejercicio de las facultades de Inspección, Vigilancia y Control respecto a los enajenadores de vivienda, concernientes a este Despacho, no es procedente continuar adelantando las actuaciones administrativas relacionadas con la verificación de la orden establecida en la </w:t>
      </w:r>
      <w:r>
        <w:rPr>
          <w:rFonts w:ascii="Arial" w:eastAsia="Arial" w:hAnsi="Arial" w:cs="Arial"/>
          <w:sz w:val="22"/>
          <w:szCs w:val="22"/>
        </w:rPr>
        <w:t>Resolución No.1666 del 22 de julio de 2022</w:t>
      </w:r>
      <w:r>
        <w:rPr>
          <w:rFonts w:ascii="Arial" w:eastAsia="Arial" w:hAnsi="Arial" w:cs="Arial"/>
          <w:color w:val="000000"/>
          <w:sz w:val="22"/>
          <w:szCs w:val="22"/>
        </w:rPr>
        <w:t>, "</w:t>
      </w:r>
      <w:r>
        <w:rPr>
          <w:rFonts w:ascii="Arial" w:eastAsia="Arial" w:hAnsi="Arial" w:cs="Arial"/>
          <w:i/>
          <w:iCs/>
          <w:color w:val="000000"/>
          <w:sz w:val="22"/>
          <w:szCs w:val="22"/>
        </w:rPr>
        <w:t>Por la cual se impone una sanción y se imparte una orden</w:t>
      </w:r>
      <w:r>
        <w:rPr>
          <w:rFonts w:ascii="Arial" w:eastAsia="Arial" w:hAnsi="Arial" w:cs="Arial"/>
          <w:color w:val="000000"/>
          <w:sz w:val="22"/>
          <w:szCs w:val="22"/>
        </w:rPr>
        <w:t>"</w:t>
      </w:r>
      <w:r w:rsidRPr="00837D00">
        <w:rPr>
          <w:rFonts w:ascii="Arial" w:hAnsi="Arial" w:cs="Arial"/>
          <w:sz w:val="22"/>
          <w:szCs w:val="22"/>
        </w:rPr>
        <w:t xml:space="preserve">, por lo que, de conformidad con las razones antes expuestas, se dará por terminada la presente actuación, declarándose el cumplimiento de la orden impartida. </w:t>
      </w:r>
    </w:p>
    <w:p w14:paraId="4AF9F5DC" w14:textId="77777777" w:rsidR="00514FF4" w:rsidRPr="00837D00" w:rsidRDefault="00514FF4" w:rsidP="00514FF4">
      <w:pPr>
        <w:widowControl w:val="0"/>
        <w:autoSpaceDE w:val="0"/>
        <w:autoSpaceDN w:val="0"/>
        <w:adjustRightInd w:val="0"/>
        <w:jc w:val="both"/>
        <w:rPr>
          <w:rFonts w:ascii="Arial" w:hAnsi="Arial" w:cs="Arial"/>
          <w:sz w:val="22"/>
          <w:szCs w:val="22"/>
          <w:lang w:val="es"/>
        </w:rPr>
      </w:pPr>
    </w:p>
    <w:p w14:paraId="7259DC93" w14:textId="77777777" w:rsidR="00514FF4" w:rsidRPr="00837D00" w:rsidRDefault="00514FF4" w:rsidP="00514FF4">
      <w:pPr>
        <w:widowControl w:val="0"/>
        <w:autoSpaceDE w:val="0"/>
        <w:autoSpaceDN w:val="0"/>
        <w:adjustRightInd w:val="0"/>
        <w:jc w:val="both"/>
        <w:rPr>
          <w:rFonts w:ascii="Arial" w:hAnsi="Arial" w:cs="Arial"/>
          <w:sz w:val="22"/>
          <w:szCs w:val="22"/>
          <w:lang w:val="es"/>
        </w:rPr>
      </w:pPr>
      <w:r w:rsidRPr="00837D00">
        <w:rPr>
          <w:rFonts w:ascii="Arial" w:hAnsi="Arial" w:cs="Arial"/>
          <w:sz w:val="22"/>
          <w:szCs w:val="22"/>
          <w:lang w:val="es"/>
        </w:rPr>
        <w:t>En mérito de lo expuesto, este despacho,</w:t>
      </w:r>
    </w:p>
    <w:p w14:paraId="7C6FE391" w14:textId="77777777" w:rsidR="00514FF4" w:rsidRPr="00837D00" w:rsidRDefault="00514FF4" w:rsidP="00514FF4">
      <w:pPr>
        <w:widowControl w:val="0"/>
        <w:autoSpaceDE w:val="0"/>
        <w:autoSpaceDN w:val="0"/>
        <w:adjustRightInd w:val="0"/>
        <w:jc w:val="both"/>
        <w:rPr>
          <w:rFonts w:ascii="Arial" w:hAnsi="Arial" w:cs="Arial"/>
          <w:sz w:val="22"/>
          <w:szCs w:val="22"/>
          <w:lang w:val="es"/>
        </w:rPr>
      </w:pPr>
    </w:p>
    <w:p w14:paraId="057B8C23" w14:textId="77777777" w:rsidR="00113397" w:rsidRDefault="009C1503">
      <w:pPr>
        <w:jc w:val="center"/>
        <w:rPr>
          <w:rFonts w:ascii="Arial" w:eastAsia="Arial" w:hAnsi="Arial" w:cs="Arial"/>
          <w:b/>
          <w:bCs/>
          <w:color w:val="000000"/>
          <w:sz w:val="22"/>
          <w:szCs w:val="22"/>
        </w:rPr>
      </w:pPr>
      <w:r>
        <w:rPr>
          <w:rFonts w:ascii="Arial" w:eastAsia="Arial" w:hAnsi="Arial" w:cs="Arial"/>
          <w:b/>
          <w:bCs/>
          <w:color w:val="000000"/>
          <w:sz w:val="22"/>
          <w:szCs w:val="22"/>
        </w:rPr>
        <w:t>RESUELVE:</w:t>
      </w:r>
    </w:p>
    <w:p w14:paraId="7A673A22" w14:textId="77777777" w:rsidR="00514FF4" w:rsidRDefault="00514FF4">
      <w:pPr>
        <w:jc w:val="both"/>
        <w:rPr>
          <w:rFonts w:ascii="Arial" w:eastAsia="Arial" w:hAnsi="Arial" w:cs="Arial"/>
          <w:b/>
          <w:bCs/>
          <w:color w:val="000000"/>
          <w:sz w:val="22"/>
          <w:szCs w:val="22"/>
        </w:rPr>
      </w:pPr>
    </w:p>
    <w:p w14:paraId="149F8B6E" w14:textId="652E27DB" w:rsidR="00113397" w:rsidRDefault="009C1503">
      <w:pPr>
        <w:jc w:val="both"/>
        <w:rPr>
          <w:rFonts w:ascii="Arial" w:eastAsia="Arial" w:hAnsi="Arial" w:cs="Arial"/>
          <w:b/>
          <w:bCs/>
          <w:color w:val="000000"/>
          <w:sz w:val="22"/>
          <w:szCs w:val="22"/>
        </w:rPr>
      </w:pPr>
      <w:r>
        <w:rPr>
          <w:rFonts w:ascii="Arial" w:eastAsia="Arial" w:hAnsi="Arial" w:cs="Arial"/>
          <w:b/>
          <w:bCs/>
          <w:color w:val="000000"/>
          <w:sz w:val="22"/>
          <w:szCs w:val="22"/>
        </w:rPr>
        <w:t>ARTÍCULO PRIMERO.</w:t>
      </w:r>
      <w:r>
        <w:rPr>
          <w:rFonts w:ascii="Arial" w:eastAsia="Arial" w:hAnsi="Arial" w:cs="Arial"/>
          <w:color w:val="000000"/>
          <w:sz w:val="22"/>
          <w:szCs w:val="22"/>
        </w:rPr>
        <w:t xml:space="preserve"> Declárese culminada la actuación administrativa relacionada con seguimiento al cumplimiento de la orden de hacer impuesta a la sociedad enajenadora</w:t>
      </w:r>
      <w:r>
        <w:rPr>
          <w:rFonts w:ascii="Arial" w:eastAsia="Arial" w:hAnsi="Arial" w:cs="Arial"/>
          <w:color w:val="000000"/>
          <w:sz w:val="22"/>
          <w:szCs w:val="22"/>
          <w:highlight w:val="white"/>
        </w:rPr>
        <w:t xml:space="preserve"> </w:t>
      </w:r>
      <w:r>
        <w:rPr>
          <w:rFonts w:ascii="Arial" w:eastAsia="Arial" w:hAnsi="Arial" w:cs="Arial"/>
          <w:sz w:val="22"/>
          <w:szCs w:val="22"/>
        </w:rPr>
        <w:t>INVERSIONES ALCABAMA S.A</w:t>
      </w:r>
      <w:r>
        <w:rPr>
          <w:rFonts w:ascii="Arial" w:eastAsia="Arial" w:hAnsi="Arial" w:cs="Arial"/>
          <w:color w:val="000000"/>
          <w:sz w:val="22"/>
          <w:szCs w:val="22"/>
        </w:rPr>
        <w:t xml:space="preserve"> </w:t>
      </w:r>
      <w:r>
        <w:rPr>
          <w:rFonts w:ascii="Arial" w:eastAsia="Arial" w:hAnsi="Arial" w:cs="Arial"/>
          <w:sz w:val="22"/>
          <w:szCs w:val="22"/>
        </w:rPr>
        <w:t>identificada con el NIT. 800.208.146-3</w:t>
      </w:r>
      <w:r>
        <w:rPr>
          <w:rFonts w:ascii="Arial" w:eastAsia="Arial" w:hAnsi="Arial" w:cs="Arial"/>
          <w:color w:val="000000"/>
          <w:sz w:val="22"/>
          <w:szCs w:val="22"/>
          <w:highlight w:val="white"/>
        </w:rPr>
        <w:t>,</w:t>
      </w:r>
      <w:r>
        <w:rPr>
          <w:rFonts w:ascii="Arial" w:eastAsia="Arial" w:hAnsi="Arial" w:cs="Arial"/>
          <w:color w:val="000000"/>
          <w:sz w:val="22"/>
          <w:szCs w:val="22"/>
        </w:rPr>
        <w:t xml:space="preserve"> en la </w:t>
      </w:r>
      <w:r>
        <w:rPr>
          <w:rFonts w:ascii="Arial" w:eastAsia="Arial" w:hAnsi="Arial" w:cs="Arial"/>
          <w:sz w:val="22"/>
          <w:szCs w:val="22"/>
        </w:rPr>
        <w:t>Resolución No. 1666 del 22 de julio de 2022</w:t>
      </w:r>
      <w:r>
        <w:rPr>
          <w:rFonts w:ascii="Arial" w:eastAsia="Arial" w:hAnsi="Arial" w:cs="Arial"/>
          <w:color w:val="000000"/>
          <w:sz w:val="22"/>
          <w:szCs w:val="22"/>
        </w:rPr>
        <w:t>, “</w:t>
      </w:r>
      <w:r>
        <w:rPr>
          <w:rFonts w:ascii="Arial" w:eastAsia="Arial" w:hAnsi="Arial" w:cs="Arial"/>
          <w:i/>
          <w:iCs/>
          <w:color w:val="000000"/>
          <w:sz w:val="22"/>
          <w:szCs w:val="22"/>
        </w:rPr>
        <w:t>Por la cual se impone una sanción y se imparte una orden</w:t>
      </w:r>
      <w:r>
        <w:rPr>
          <w:rFonts w:ascii="Arial" w:eastAsia="Arial" w:hAnsi="Arial" w:cs="Arial"/>
          <w:color w:val="000000"/>
          <w:sz w:val="22"/>
          <w:szCs w:val="22"/>
        </w:rPr>
        <w:t xml:space="preserve">” por encontrarse plenamente cumplidos y subsanados los hechos que dieron lugar a </w:t>
      </w:r>
      <w:r>
        <w:rPr>
          <w:rFonts w:ascii="Arial" w:eastAsia="Arial" w:hAnsi="Arial" w:cs="Arial"/>
          <w:color w:val="000000"/>
          <w:sz w:val="22"/>
          <w:szCs w:val="22"/>
        </w:rPr>
        <w:lastRenderedPageBreak/>
        <w:t xml:space="preserve">esta, de conformidad con las razones expuestas en la parte motiva del presente Acto Administrativo.  </w:t>
      </w:r>
    </w:p>
    <w:p w14:paraId="47B4BB79" w14:textId="77777777" w:rsidR="00113397" w:rsidRDefault="00113397">
      <w:pPr>
        <w:widowControl w:val="0"/>
        <w:jc w:val="both"/>
        <w:rPr>
          <w:rFonts w:ascii="Arial" w:eastAsia="Arial" w:hAnsi="Arial" w:cs="Arial"/>
          <w:b/>
          <w:bCs/>
          <w:color w:val="000000"/>
          <w:sz w:val="22"/>
          <w:szCs w:val="22"/>
        </w:rPr>
      </w:pPr>
    </w:p>
    <w:p w14:paraId="7B88F9DA" w14:textId="0CBA042A" w:rsidR="00113397" w:rsidRDefault="009C1503">
      <w:pPr>
        <w:jc w:val="both"/>
        <w:rPr>
          <w:rFonts w:ascii="Arial" w:eastAsia="Arial" w:hAnsi="Arial" w:cs="Arial"/>
          <w:color w:val="000000"/>
          <w:sz w:val="22"/>
          <w:szCs w:val="22"/>
        </w:rPr>
      </w:pPr>
      <w:r>
        <w:rPr>
          <w:rFonts w:ascii="Arial" w:eastAsia="Arial" w:hAnsi="Arial" w:cs="Arial"/>
          <w:b/>
          <w:bCs/>
          <w:color w:val="000000"/>
          <w:sz w:val="22"/>
          <w:szCs w:val="22"/>
        </w:rPr>
        <w:t>ARTICULO SEGUNDO:</w:t>
      </w:r>
      <w:r>
        <w:rPr>
          <w:rFonts w:ascii="Arial" w:eastAsia="Arial" w:hAnsi="Arial" w:cs="Arial"/>
          <w:color w:val="000000"/>
          <w:sz w:val="22"/>
          <w:szCs w:val="22"/>
        </w:rPr>
        <w:t xml:space="preserve"> Notificar el contenido de la presente Resolución </w:t>
      </w:r>
      <w:r>
        <w:rPr>
          <w:rFonts w:ascii="Arial" w:eastAsia="Arial" w:hAnsi="Arial" w:cs="Arial"/>
          <w:sz w:val="22"/>
          <w:szCs w:val="22"/>
        </w:rPr>
        <w:t>al</w:t>
      </w:r>
      <w:r>
        <w:rPr>
          <w:rFonts w:ascii="Arial" w:eastAsia="Arial" w:hAnsi="Arial" w:cs="Arial"/>
          <w:color w:val="000000"/>
          <w:sz w:val="22"/>
          <w:szCs w:val="22"/>
        </w:rPr>
        <w:t xml:space="preserve"> representante legal </w:t>
      </w:r>
      <w:r w:rsidR="00514FF4">
        <w:rPr>
          <w:rFonts w:ascii="Arial" w:eastAsia="Arial" w:hAnsi="Arial" w:cs="Arial"/>
          <w:color w:val="000000"/>
          <w:sz w:val="22"/>
          <w:szCs w:val="22"/>
        </w:rPr>
        <w:t>(o quien haga sus veces)</w:t>
      </w:r>
      <w:r>
        <w:rPr>
          <w:rFonts w:ascii="Arial" w:eastAsia="Arial" w:hAnsi="Arial" w:cs="Arial"/>
          <w:color w:val="000000"/>
          <w:sz w:val="22"/>
          <w:szCs w:val="22"/>
        </w:rPr>
        <w:t xml:space="preserve"> de la sociedad enajenadora </w:t>
      </w:r>
      <w:r>
        <w:rPr>
          <w:rFonts w:ascii="Arial" w:eastAsia="Arial" w:hAnsi="Arial" w:cs="Arial"/>
          <w:sz w:val="22"/>
          <w:szCs w:val="22"/>
        </w:rPr>
        <w:t>INVERSIONES ALCABAMA S.A</w:t>
      </w:r>
      <w:r>
        <w:rPr>
          <w:rFonts w:ascii="Arial" w:eastAsia="Arial" w:hAnsi="Arial" w:cs="Arial"/>
          <w:color w:val="000000"/>
          <w:sz w:val="22"/>
          <w:szCs w:val="22"/>
        </w:rPr>
        <w:t xml:space="preserve">, </w:t>
      </w:r>
      <w:r>
        <w:rPr>
          <w:rFonts w:ascii="Arial" w:eastAsia="Arial" w:hAnsi="Arial" w:cs="Arial"/>
          <w:sz w:val="22"/>
          <w:szCs w:val="22"/>
        </w:rPr>
        <w:t>identificada con el NIT. 800.208.146-3</w:t>
      </w:r>
      <w:r>
        <w:rPr>
          <w:rFonts w:ascii="Arial" w:eastAsia="Arial" w:hAnsi="Arial" w:cs="Arial"/>
          <w:color w:val="000000"/>
          <w:sz w:val="22"/>
          <w:szCs w:val="22"/>
        </w:rPr>
        <w:t xml:space="preserve">, </w:t>
      </w:r>
      <w:r>
        <w:rPr>
          <w:rFonts w:ascii="Arial" w:eastAsia="Arial" w:hAnsi="Arial" w:cs="Arial"/>
          <w:sz w:val="22"/>
          <w:szCs w:val="22"/>
        </w:rPr>
        <w:t>representada legalmente ALBERTO BELLO DOMÍNGUEZ (o quien haga sus veces)</w:t>
      </w:r>
      <w:r>
        <w:rPr>
          <w:rFonts w:ascii="Arial" w:eastAsia="Arial" w:hAnsi="Arial" w:cs="Arial"/>
          <w:color w:val="000000"/>
          <w:sz w:val="22"/>
          <w:szCs w:val="22"/>
        </w:rPr>
        <w:t xml:space="preserve">, para lo cual deberá </w:t>
      </w:r>
      <w:r w:rsidR="00514FF4">
        <w:rPr>
          <w:rFonts w:ascii="Arial" w:eastAsia="Arial" w:hAnsi="Arial" w:cs="Arial"/>
          <w:color w:val="000000"/>
          <w:sz w:val="22"/>
          <w:szCs w:val="22"/>
        </w:rPr>
        <w:t xml:space="preserve">notificarse </w:t>
      </w:r>
      <w:r>
        <w:rPr>
          <w:rFonts w:ascii="Arial" w:eastAsia="Arial" w:hAnsi="Arial" w:cs="Arial"/>
          <w:color w:val="000000"/>
          <w:sz w:val="22"/>
          <w:szCs w:val="22"/>
        </w:rPr>
        <w:t xml:space="preserve">a la dirección electrónica </w:t>
      </w:r>
      <w:r>
        <w:rPr>
          <w:rFonts w:ascii="Arial" w:eastAsia="Arial" w:hAnsi="Arial" w:cs="Arial"/>
          <w:b/>
          <w:bCs/>
          <w:sz w:val="22"/>
          <w:szCs w:val="22"/>
          <w:u w:val="single"/>
        </w:rPr>
        <w:t>info@</w:t>
      </w:r>
      <w:hyperlink r:id="rId8">
        <w:r>
          <w:rPr>
            <w:rFonts w:ascii="Arial" w:eastAsia="Arial" w:hAnsi="Arial" w:cs="Arial"/>
            <w:b/>
            <w:bCs/>
            <w:sz w:val="22"/>
            <w:szCs w:val="22"/>
            <w:u w:val="single"/>
          </w:rPr>
          <w:t>alcabama.com.co</w:t>
        </w:r>
      </w:hyperlink>
      <w:r w:rsidR="00514FF4">
        <w:t>,</w:t>
      </w:r>
      <w:r>
        <w:rPr>
          <w:rFonts w:ascii="Arial" w:eastAsia="Arial" w:hAnsi="Arial" w:cs="Arial"/>
          <w:sz w:val="22"/>
          <w:szCs w:val="22"/>
        </w:rPr>
        <w:t xml:space="preserve"> </w:t>
      </w:r>
      <w:r w:rsidR="00514FF4">
        <w:rPr>
          <w:rFonts w:ascii="Arial" w:eastAsia="Arial" w:hAnsi="Arial" w:cs="Arial"/>
          <w:color w:val="000000"/>
          <w:sz w:val="22"/>
          <w:szCs w:val="22"/>
        </w:rPr>
        <w:t>de acuerdo con el radicado 1-2021-28417. o</w:t>
      </w:r>
      <w:r>
        <w:rPr>
          <w:rFonts w:ascii="Arial" w:eastAsia="Arial" w:hAnsi="Arial" w:cs="Arial"/>
          <w:color w:val="000000"/>
          <w:sz w:val="22"/>
          <w:szCs w:val="22"/>
        </w:rPr>
        <w:t>, en su defecto, de conformidad con las normas de notificación previstas en la Ley 1437 de 2011.</w:t>
      </w:r>
    </w:p>
    <w:p w14:paraId="50E62BC9" w14:textId="77777777" w:rsidR="00113397" w:rsidRDefault="00113397">
      <w:pPr>
        <w:rPr>
          <w:rFonts w:ascii="Arial" w:eastAsia="Arial" w:hAnsi="Arial" w:cs="Arial"/>
          <w:color w:val="000000"/>
          <w:sz w:val="22"/>
          <w:szCs w:val="22"/>
        </w:rPr>
      </w:pPr>
    </w:p>
    <w:p w14:paraId="292AA725" w14:textId="5B8230E8" w:rsidR="00113397" w:rsidRDefault="009C1503">
      <w:pPr>
        <w:jc w:val="both"/>
        <w:rPr>
          <w:rFonts w:ascii="Arial" w:eastAsia="Arial" w:hAnsi="Arial" w:cs="Arial"/>
          <w:color w:val="000000"/>
          <w:sz w:val="22"/>
          <w:szCs w:val="22"/>
        </w:rPr>
      </w:pPr>
      <w:r>
        <w:rPr>
          <w:rFonts w:ascii="Arial" w:eastAsia="Arial" w:hAnsi="Arial" w:cs="Arial"/>
          <w:b/>
          <w:bCs/>
          <w:color w:val="000000"/>
          <w:sz w:val="22"/>
          <w:szCs w:val="22"/>
        </w:rPr>
        <w:t xml:space="preserve">ARTÍCULO TERCERO: </w:t>
      </w:r>
      <w:r>
        <w:rPr>
          <w:rFonts w:ascii="Arial" w:eastAsia="Arial" w:hAnsi="Arial" w:cs="Arial"/>
          <w:color w:val="000000"/>
          <w:sz w:val="22"/>
          <w:szCs w:val="22"/>
        </w:rPr>
        <w:t xml:space="preserve">Notificar el contenido de esta Resolución al </w:t>
      </w:r>
      <w:r>
        <w:rPr>
          <w:rFonts w:ascii="Arial" w:eastAsia="Arial" w:hAnsi="Arial" w:cs="Arial"/>
          <w:sz w:val="22"/>
          <w:szCs w:val="22"/>
        </w:rPr>
        <w:t>propietario del apartamento</w:t>
      </w:r>
      <w:r>
        <w:rPr>
          <w:rFonts w:ascii="Arial" w:eastAsia="Arial" w:hAnsi="Arial" w:cs="Arial"/>
          <w:color w:val="000000"/>
          <w:sz w:val="22"/>
          <w:szCs w:val="22"/>
        </w:rPr>
        <w:t xml:space="preserve"> </w:t>
      </w:r>
      <w:r>
        <w:rPr>
          <w:rFonts w:ascii="Arial" w:eastAsia="Arial" w:hAnsi="Arial" w:cs="Arial"/>
          <w:sz w:val="22"/>
          <w:szCs w:val="22"/>
        </w:rPr>
        <w:t>801</w:t>
      </w:r>
      <w:r>
        <w:rPr>
          <w:rFonts w:ascii="Arial" w:eastAsia="Arial" w:hAnsi="Arial" w:cs="Arial"/>
          <w:color w:val="000000"/>
          <w:sz w:val="22"/>
          <w:szCs w:val="22"/>
        </w:rPr>
        <w:t xml:space="preserve"> </w:t>
      </w:r>
      <w:r w:rsidR="00185DD7">
        <w:rPr>
          <w:rFonts w:ascii="Arial" w:eastAsia="Arial" w:hAnsi="Arial" w:cs="Arial"/>
          <w:color w:val="000000"/>
          <w:sz w:val="22"/>
          <w:szCs w:val="22"/>
        </w:rPr>
        <w:t xml:space="preserve">(o quien haga sus veces) </w:t>
      </w:r>
      <w:r>
        <w:rPr>
          <w:rFonts w:ascii="Arial" w:eastAsia="Arial" w:hAnsi="Arial" w:cs="Arial"/>
          <w:color w:val="000000"/>
          <w:sz w:val="22"/>
          <w:szCs w:val="22"/>
        </w:rPr>
        <w:t xml:space="preserve">del proyecto de vivienda </w:t>
      </w:r>
      <w:r>
        <w:rPr>
          <w:rFonts w:ascii="Arial" w:eastAsia="Arial" w:hAnsi="Arial" w:cs="Arial"/>
          <w:sz w:val="22"/>
          <w:szCs w:val="22"/>
        </w:rPr>
        <w:t>EDIFICIO MONTERREY - PROPIEDAD HORIZONTAL</w:t>
      </w:r>
      <w:r>
        <w:rPr>
          <w:rFonts w:ascii="Arial" w:eastAsia="Arial" w:hAnsi="Arial" w:cs="Arial"/>
          <w:color w:val="000000"/>
          <w:sz w:val="22"/>
          <w:szCs w:val="22"/>
        </w:rPr>
        <w:t>, para lo cual deberá enviarse citación para notificación personal a la</w:t>
      </w:r>
      <w:r>
        <w:rPr>
          <w:rFonts w:ascii="Arial" w:eastAsia="Arial" w:hAnsi="Arial" w:cs="Arial"/>
          <w:sz w:val="22"/>
          <w:szCs w:val="22"/>
        </w:rPr>
        <w:t xml:space="preserve"> dirección Carrera 59 A No 136</w:t>
      </w:r>
      <w:r w:rsidR="00185DD7">
        <w:rPr>
          <w:rFonts w:ascii="Arial" w:eastAsia="Arial" w:hAnsi="Arial" w:cs="Arial"/>
          <w:sz w:val="22"/>
          <w:szCs w:val="22"/>
        </w:rPr>
        <w:t xml:space="preserve"> </w:t>
      </w:r>
      <w:r>
        <w:rPr>
          <w:rFonts w:ascii="Arial" w:eastAsia="Arial" w:hAnsi="Arial" w:cs="Arial"/>
          <w:sz w:val="22"/>
          <w:szCs w:val="22"/>
        </w:rPr>
        <w:t>-</w:t>
      </w:r>
      <w:r w:rsidR="00185DD7">
        <w:rPr>
          <w:rFonts w:ascii="Arial" w:eastAsia="Arial" w:hAnsi="Arial" w:cs="Arial"/>
          <w:sz w:val="22"/>
          <w:szCs w:val="22"/>
        </w:rPr>
        <w:t xml:space="preserve"> </w:t>
      </w:r>
      <w:r>
        <w:rPr>
          <w:rFonts w:ascii="Arial" w:eastAsia="Arial" w:hAnsi="Arial" w:cs="Arial"/>
          <w:sz w:val="22"/>
          <w:szCs w:val="22"/>
        </w:rPr>
        <w:t xml:space="preserve">25 </w:t>
      </w:r>
      <w:r w:rsidR="00185DD7">
        <w:rPr>
          <w:rFonts w:ascii="Arial" w:eastAsia="Arial" w:hAnsi="Arial" w:cs="Arial"/>
          <w:sz w:val="22"/>
          <w:szCs w:val="22"/>
        </w:rPr>
        <w:t>del apartamento</w:t>
      </w:r>
      <w:r w:rsidR="00185DD7">
        <w:rPr>
          <w:rFonts w:ascii="Arial" w:eastAsia="Arial" w:hAnsi="Arial" w:cs="Arial"/>
          <w:color w:val="000000"/>
          <w:sz w:val="22"/>
          <w:szCs w:val="22"/>
        </w:rPr>
        <w:t xml:space="preserve"> </w:t>
      </w:r>
      <w:r w:rsidR="00185DD7">
        <w:rPr>
          <w:rFonts w:ascii="Arial" w:eastAsia="Arial" w:hAnsi="Arial" w:cs="Arial"/>
          <w:sz w:val="22"/>
          <w:szCs w:val="22"/>
        </w:rPr>
        <w:t xml:space="preserve">801 </w:t>
      </w:r>
      <w:r>
        <w:rPr>
          <w:rFonts w:ascii="Arial" w:eastAsia="Arial" w:hAnsi="Arial" w:cs="Arial"/>
          <w:sz w:val="22"/>
          <w:szCs w:val="22"/>
        </w:rPr>
        <w:t xml:space="preserve">de </w:t>
      </w:r>
      <w:r w:rsidR="00514FF4">
        <w:rPr>
          <w:rFonts w:ascii="Arial" w:eastAsia="Arial" w:hAnsi="Arial" w:cs="Arial"/>
          <w:sz w:val="22"/>
          <w:szCs w:val="22"/>
        </w:rPr>
        <w:t>Bogotá</w:t>
      </w:r>
      <w:r>
        <w:rPr>
          <w:rFonts w:ascii="Arial" w:eastAsia="Arial" w:hAnsi="Arial" w:cs="Arial"/>
          <w:sz w:val="22"/>
          <w:szCs w:val="22"/>
        </w:rPr>
        <w:t xml:space="preserve">, </w:t>
      </w:r>
      <w:r>
        <w:rPr>
          <w:rFonts w:ascii="Arial" w:eastAsia="Arial" w:hAnsi="Arial" w:cs="Arial"/>
          <w:color w:val="000000"/>
          <w:sz w:val="22"/>
          <w:szCs w:val="22"/>
        </w:rPr>
        <w:t>o, en su defecto, de conformidad con las normas de notificación previstas en la Ley 1437 de 2011.</w:t>
      </w:r>
    </w:p>
    <w:p w14:paraId="645B0A36" w14:textId="77777777" w:rsidR="00113397" w:rsidRDefault="00113397">
      <w:pPr>
        <w:widowControl w:val="0"/>
        <w:jc w:val="both"/>
        <w:rPr>
          <w:rFonts w:ascii="Arial" w:eastAsia="Arial" w:hAnsi="Arial" w:cs="Arial"/>
          <w:b/>
          <w:bCs/>
          <w:color w:val="000000"/>
          <w:sz w:val="22"/>
          <w:szCs w:val="22"/>
        </w:rPr>
      </w:pPr>
    </w:p>
    <w:p w14:paraId="13A3964E" w14:textId="77777777" w:rsidR="00113397" w:rsidRDefault="009C1503">
      <w:pPr>
        <w:widowControl w:val="0"/>
        <w:jc w:val="both"/>
        <w:rPr>
          <w:rFonts w:ascii="Arial" w:eastAsia="Arial" w:hAnsi="Arial" w:cs="Arial"/>
          <w:color w:val="000000"/>
          <w:sz w:val="22"/>
          <w:szCs w:val="22"/>
        </w:rPr>
      </w:pPr>
      <w:r>
        <w:rPr>
          <w:rFonts w:ascii="Arial" w:eastAsia="Arial" w:hAnsi="Arial" w:cs="Arial"/>
          <w:b/>
          <w:bCs/>
          <w:color w:val="000000"/>
          <w:sz w:val="22"/>
          <w:szCs w:val="22"/>
        </w:rPr>
        <w:t xml:space="preserve">ARTÍCULO CUARTO: </w:t>
      </w:r>
      <w:r>
        <w:rPr>
          <w:rFonts w:ascii="Arial" w:eastAsia="Arial" w:hAnsi="Arial" w:cs="Arial"/>
          <w:color w:val="000000"/>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05C9FC44" w14:textId="77777777" w:rsidR="00113397" w:rsidRDefault="00113397">
      <w:pPr>
        <w:widowControl w:val="0"/>
        <w:jc w:val="both"/>
        <w:rPr>
          <w:rFonts w:ascii="Arial" w:eastAsia="Arial" w:hAnsi="Arial" w:cs="Arial"/>
          <w:b/>
          <w:bCs/>
          <w:color w:val="000000"/>
          <w:sz w:val="22"/>
          <w:szCs w:val="22"/>
        </w:rPr>
      </w:pPr>
    </w:p>
    <w:p w14:paraId="30DF6C95" w14:textId="77777777" w:rsidR="00113397" w:rsidRDefault="009C1503">
      <w:pPr>
        <w:widowControl w:val="0"/>
        <w:jc w:val="both"/>
        <w:rPr>
          <w:rFonts w:ascii="Arial" w:eastAsia="Arial" w:hAnsi="Arial" w:cs="Arial"/>
          <w:color w:val="000000"/>
          <w:sz w:val="22"/>
          <w:szCs w:val="22"/>
        </w:rPr>
      </w:pPr>
      <w:r>
        <w:rPr>
          <w:rFonts w:ascii="Arial" w:eastAsia="Arial" w:hAnsi="Arial" w:cs="Arial"/>
          <w:b/>
          <w:bCs/>
          <w:color w:val="000000"/>
          <w:sz w:val="22"/>
          <w:szCs w:val="22"/>
        </w:rPr>
        <w:t>ARTÍCULO QUINTO.</w:t>
      </w:r>
      <w:r>
        <w:rPr>
          <w:rFonts w:ascii="Arial" w:eastAsia="Arial" w:hAnsi="Arial" w:cs="Arial"/>
          <w:color w:val="000000"/>
          <w:sz w:val="22"/>
          <w:szCs w:val="22"/>
        </w:rPr>
        <w:t xml:space="preserve"> Una </w:t>
      </w:r>
      <w:r>
        <w:rPr>
          <w:rFonts w:ascii="Arial" w:eastAsia="Arial" w:hAnsi="Arial" w:cs="Arial"/>
          <w:sz w:val="22"/>
          <w:szCs w:val="22"/>
        </w:rPr>
        <w:t>vez</w:t>
      </w:r>
      <w:r>
        <w:rPr>
          <w:rFonts w:ascii="Arial" w:eastAsia="Arial" w:hAnsi="Arial" w:cs="Arial"/>
          <w:color w:val="000000"/>
          <w:sz w:val="22"/>
          <w:szCs w:val="22"/>
        </w:rPr>
        <w:t xml:space="preserve"> firme el presente acto administrativo se procederá con su archivo.</w:t>
      </w:r>
    </w:p>
    <w:p w14:paraId="06556C98" w14:textId="77777777" w:rsidR="00113397" w:rsidRDefault="00113397">
      <w:pPr>
        <w:widowControl w:val="0"/>
        <w:jc w:val="both"/>
        <w:rPr>
          <w:rFonts w:ascii="Arial" w:eastAsia="Arial" w:hAnsi="Arial" w:cs="Arial"/>
          <w:b/>
          <w:bCs/>
          <w:color w:val="000000"/>
          <w:sz w:val="22"/>
          <w:szCs w:val="22"/>
        </w:rPr>
      </w:pPr>
    </w:p>
    <w:p w14:paraId="1633BC3E" w14:textId="77777777" w:rsidR="00113397" w:rsidRDefault="009C1503">
      <w:pPr>
        <w:widowControl w:val="0"/>
        <w:jc w:val="both"/>
        <w:rPr>
          <w:rFonts w:ascii="Arial" w:eastAsia="Arial" w:hAnsi="Arial" w:cs="Arial"/>
          <w:color w:val="000000"/>
          <w:sz w:val="22"/>
          <w:szCs w:val="22"/>
        </w:rPr>
      </w:pPr>
      <w:r>
        <w:rPr>
          <w:rFonts w:ascii="Arial" w:eastAsia="Arial" w:hAnsi="Arial" w:cs="Arial"/>
          <w:b/>
          <w:bCs/>
          <w:color w:val="000000"/>
          <w:sz w:val="22"/>
          <w:szCs w:val="22"/>
        </w:rPr>
        <w:t xml:space="preserve">ARTÍCULO SEXTO. </w:t>
      </w:r>
      <w:r>
        <w:rPr>
          <w:rFonts w:ascii="Arial" w:eastAsia="Arial" w:hAnsi="Arial" w:cs="Arial"/>
          <w:color w:val="000000"/>
          <w:sz w:val="22"/>
          <w:szCs w:val="22"/>
        </w:rPr>
        <w:t>La presente resolución rige a partir de la fecha de su expedición.</w:t>
      </w:r>
    </w:p>
    <w:p w14:paraId="1B79048B" w14:textId="77777777" w:rsidR="00113397" w:rsidRDefault="00113397">
      <w:pPr>
        <w:widowControl w:val="0"/>
        <w:jc w:val="center"/>
        <w:rPr>
          <w:rFonts w:ascii="Arial" w:eastAsia="Arial" w:hAnsi="Arial" w:cs="Arial"/>
          <w:b/>
          <w:bCs/>
          <w:color w:val="000000"/>
          <w:sz w:val="22"/>
          <w:szCs w:val="22"/>
        </w:rPr>
      </w:pPr>
    </w:p>
    <w:p w14:paraId="0CB00C16" w14:textId="41AB7340" w:rsidR="00113397" w:rsidRDefault="009C1503">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NOTIFÍQUESE</w:t>
      </w:r>
      <w:r>
        <w:rPr>
          <w:rFonts w:ascii="Arial" w:eastAsia="Arial" w:hAnsi="Arial" w:cs="Arial"/>
          <w:b/>
          <w:bCs/>
          <w:sz w:val="22"/>
          <w:szCs w:val="22"/>
        </w:rPr>
        <w:t xml:space="preserve"> </w:t>
      </w:r>
      <w:r>
        <w:rPr>
          <w:rFonts w:ascii="Arial" w:eastAsia="Arial" w:hAnsi="Arial" w:cs="Arial"/>
          <w:b/>
          <w:bCs/>
          <w:color w:val="000000"/>
          <w:sz w:val="22"/>
          <w:szCs w:val="22"/>
        </w:rPr>
        <w:t>Y CÚMPLASE.</w:t>
      </w:r>
    </w:p>
    <w:p w14:paraId="58CC5553" w14:textId="77777777" w:rsidR="00113397" w:rsidRDefault="00113397">
      <w:pPr>
        <w:widowControl w:val="0"/>
        <w:rPr>
          <w:rFonts w:ascii="Arial" w:eastAsia="Arial" w:hAnsi="Arial" w:cs="Arial"/>
          <w:b/>
          <w:bCs/>
          <w:color w:val="000000"/>
          <w:sz w:val="22"/>
          <w:szCs w:val="22"/>
        </w:rPr>
      </w:pPr>
    </w:p>
    <w:p w14:paraId="31F226DF" w14:textId="77777777" w:rsidR="00113397" w:rsidRDefault="00113397">
      <w:pPr>
        <w:widowControl w:val="0"/>
        <w:rPr>
          <w:rFonts w:ascii="Arial" w:eastAsia="Arial" w:hAnsi="Arial" w:cs="Arial"/>
          <w:b/>
          <w:bCs/>
          <w:color w:val="000000"/>
          <w:sz w:val="22"/>
          <w:szCs w:val="22"/>
        </w:rPr>
      </w:pPr>
    </w:p>
    <w:p w14:paraId="31CA0B0F" w14:textId="77777777" w:rsidR="00113397" w:rsidRDefault="00113397">
      <w:pPr>
        <w:widowControl w:val="0"/>
        <w:jc w:val="both"/>
        <w:rPr>
          <w:rFonts w:ascii="Arial" w:eastAsia="Arial" w:hAnsi="Arial" w:cs="Arial"/>
          <w:color w:val="000000"/>
          <w:sz w:val="22"/>
          <w:szCs w:val="22"/>
        </w:rPr>
      </w:pPr>
    </w:p>
    <w:p w14:paraId="54C41E0F" w14:textId="77777777" w:rsidR="00185DD7" w:rsidRDefault="00185DD7">
      <w:pPr>
        <w:widowControl w:val="0"/>
        <w:jc w:val="both"/>
        <w:rPr>
          <w:rFonts w:ascii="Arial" w:eastAsia="Arial" w:hAnsi="Arial" w:cs="Arial"/>
          <w:color w:val="000000"/>
          <w:sz w:val="22"/>
          <w:szCs w:val="22"/>
        </w:rPr>
      </w:pPr>
    </w:p>
    <w:p w14:paraId="6B11C185" w14:textId="77777777" w:rsidR="00185DD7" w:rsidRDefault="00185DD7">
      <w:pPr>
        <w:widowControl w:val="0"/>
        <w:jc w:val="both"/>
        <w:rPr>
          <w:rFonts w:ascii="Arial" w:eastAsia="Arial" w:hAnsi="Arial" w:cs="Arial"/>
          <w:color w:val="000000"/>
          <w:sz w:val="22"/>
          <w:szCs w:val="22"/>
        </w:rPr>
      </w:pPr>
    </w:p>
    <w:p w14:paraId="0548F107" w14:textId="77777777" w:rsidR="00185DD7" w:rsidRDefault="00185DD7">
      <w:pPr>
        <w:widowControl w:val="0"/>
        <w:jc w:val="both"/>
        <w:rPr>
          <w:rFonts w:ascii="Arial" w:eastAsia="Arial" w:hAnsi="Arial" w:cs="Arial"/>
          <w:color w:val="000000"/>
          <w:sz w:val="22"/>
          <w:szCs w:val="22"/>
        </w:rPr>
      </w:pPr>
    </w:p>
    <w:p w14:paraId="2F171452" w14:textId="77777777" w:rsidR="00113397" w:rsidRDefault="009C1503">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JAZMÍN ROCÍO OROZCO RODRÍGUEZ</w:t>
      </w:r>
    </w:p>
    <w:p w14:paraId="23734769" w14:textId="77777777" w:rsidR="00113397" w:rsidRDefault="009C1503">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Directora de Investigaciones y Control de Vivienda</w:t>
      </w:r>
    </w:p>
    <w:p w14:paraId="188754C6" w14:textId="77777777" w:rsidR="00113397" w:rsidRDefault="00113397">
      <w:pPr>
        <w:widowControl w:val="0"/>
        <w:jc w:val="both"/>
        <w:rPr>
          <w:rFonts w:ascii="Arial" w:eastAsia="Arial" w:hAnsi="Arial" w:cs="Arial"/>
          <w:i/>
          <w:iCs/>
          <w:color w:val="000000"/>
          <w:sz w:val="22"/>
          <w:szCs w:val="22"/>
        </w:rPr>
      </w:pPr>
    </w:p>
    <w:p w14:paraId="1ACBEA4D" w14:textId="77777777" w:rsidR="00113397" w:rsidRDefault="009C1503">
      <w:pPr>
        <w:jc w:val="both"/>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 Abogado Contratista – DICV</w:t>
      </w:r>
    </w:p>
    <w:p w14:paraId="1BE8528F" w14:textId="77777777" w:rsidR="00113397" w:rsidRDefault="009C1503">
      <w:pPr>
        <w:jc w:val="both"/>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3C55A328" w14:textId="77777777" w:rsidR="00637D4D" w:rsidRDefault="00637D4D">
      <w:pPr>
        <w:jc w:val="both"/>
        <w:rPr>
          <w:rFonts w:ascii="Arial" w:eastAsia="Arial" w:hAnsi="Arial" w:cs="Arial"/>
          <w:b/>
          <w:bCs/>
          <w:color w:val="000000"/>
          <w:sz w:val="22"/>
          <w:szCs w:val="22"/>
        </w:rPr>
      </w:pPr>
    </w:p>
    <w:sectPr w:rsidR="00637D4D">
      <w:headerReference w:type="default" r:id="rId9"/>
      <w:footerReference w:type="default" r:id="rId1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8F3FC0" w14:textId="77777777" w:rsidR="00B4406F" w:rsidRDefault="00B4406F">
      <w:r>
        <w:separator/>
      </w:r>
    </w:p>
  </w:endnote>
  <w:endnote w:type="continuationSeparator" w:id="0">
    <w:p w14:paraId="3CE53268" w14:textId="77777777" w:rsidR="00B4406F" w:rsidRDefault="00B44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C411BE1-414A-4A14-BA5A-2C076DC2766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2" w:fontKey="{888D16B6-02BF-4C9D-A5C1-AB540AF39EF2}"/>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29CEE44D-D985-444E-A004-0DB5DD6C5BA7}"/>
    <w:embedBold r:id="rId4" w:fontKey="{B7D1BA02-8CFD-4187-9287-617607D229C7}"/>
  </w:font>
  <w:font w:name="Cambria">
    <w:panose1 w:val="02040503050406030204"/>
    <w:charset w:val="00"/>
    <w:family w:val="roman"/>
    <w:pitch w:val="variable"/>
    <w:sig w:usb0="E00006FF" w:usb1="420024FF" w:usb2="02000000" w:usb3="00000000" w:csb0="0000019F" w:csb1="00000000"/>
    <w:embedRegular r:id="rId5" w:fontKey="{F0CA19F8-E3A9-444A-BAE1-67FA541B8B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2E866" w14:textId="77777777" w:rsidR="00113397" w:rsidRDefault="009C1503">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65DDC1A4" wp14:editId="075A9210">
          <wp:simplePos x="0" y="0"/>
          <wp:positionH relativeFrom="column">
            <wp:posOffset>2239010</wp:posOffset>
          </wp:positionH>
          <wp:positionV relativeFrom="paragraph">
            <wp:posOffset>74295</wp:posOffset>
          </wp:positionV>
          <wp:extent cx="2133600" cy="861695"/>
          <wp:effectExtent l="9525" t="9525" r="9525" b="9525"/>
          <wp:wrapSquare wrapText="bothSides" distT="0" distB="0" distL="114300" distR="114300"/>
          <wp:docPr id="3"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w="9525">
                    <a:solidFill>
                      <a:srgbClr val="000000"/>
                    </a:solidFill>
                    <a:prstDash val="solid"/>
                  </a:ln>
                </pic:spPr>
              </pic:pic>
            </a:graphicData>
          </a:graphic>
        </wp:anchor>
      </w:drawing>
    </w:r>
  </w:p>
  <w:p w14:paraId="6EDA57C9" w14:textId="77777777" w:rsidR="00113397" w:rsidRDefault="009C1503">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F90DC2">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F90DC2">
      <w:rPr>
        <w:b/>
        <w:bCs/>
        <w:noProof/>
        <w:color w:val="000000"/>
      </w:rPr>
      <w:t>2</w:t>
    </w:r>
    <w:r>
      <w:rPr>
        <w:b/>
        <w:bCs/>
        <w:color w:val="000000"/>
      </w:rPr>
      <w:fldChar w:fldCharType="end"/>
    </w:r>
  </w:p>
  <w:p w14:paraId="4966A5D7" w14:textId="77777777" w:rsidR="00113397" w:rsidRDefault="009C1503">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01F511A2" w14:textId="77777777" w:rsidR="00113397" w:rsidRDefault="009C150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38A22F5A" wp14:editId="40FF6ABC">
              <wp:simplePos x="0" y="0"/>
              <wp:positionH relativeFrom="column">
                <wp:posOffset>5160967</wp:posOffset>
              </wp:positionH>
              <wp:positionV relativeFrom="paragraph">
                <wp:posOffset>58738</wp:posOffset>
              </wp:positionV>
              <wp:extent cx="1127123" cy="784859"/>
              <wp:effectExtent l="0" t="0" r="0" b="0"/>
              <wp:wrapSquare wrapText="bothSides" distT="45720" distB="45720" distL="114300" distR="114300"/>
              <wp:docPr id="1" name="Rectángulo 1"/>
              <wp:cNvGraphicFramePr/>
              <a:graphic xmlns:a="http://schemas.openxmlformats.org/drawingml/2006/main">
                <a:graphicData uri="http://schemas.microsoft.com/office/word/2010/wordprocessingShape">
                  <wps:wsp>
                    <wps:cNvSpPr/>
                    <wps:spPr>
                      <a:xfrm>
                        <a:off x="4801489" y="3406621"/>
                        <a:ext cx="1089023" cy="746759"/>
                      </a:xfrm>
                      <a:prstGeom prst="rect">
                        <a:avLst/>
                      </a:prstGeom>
                      <a:solidFill>
                        <a:srgbClr val="FFFFFF"/>
                      </a:solidFill>
                      <a:ln w="9525" cap="flat" cmpd="sng">
                        <a:solidFill>
                          <a:srgbClr val="FFFFFF"/>
                        </a:solidFill>
                        <a:prstDash val="solid"/>
                        <a:miter lim="8000"/>
                        <a:headEnd type="none" w="sm" len="sm"/>
                        <a:tailEnd type="none" w="sm" len="sm"/>
                      </a:ln>
                    </wps:spPr>
                    <wps:txbx>
                      <w:txbxContent>
                        <w:p w14:paraId="21AE7C60" w14:textId="77777777" w:rsidR="00113397" w:rsidRDefault="009C1503">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38A22F5A" id="Rectángulo 1" o:spid="_x0000_s1026" style="position:absolute;margin-left:406.4pt;margin-top:4.65pt;width:88.75pt;height:61.8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" strokecolor="white">
              <v:stroke startarrowwidth="narrow" startarrowlength="short" endarrowwidth="narrow" endarrowlength="short" miterlimit="5243f"/>
              <v:textbox inset="2.53958mm,1.2694mm,2.53958mm,1.2694mm">
                <w:txbxContent>
                  <w:p w14:paraId="21AE7C60" w14:textId="77777777" w:rsidR="00113397" w:rsidRDefault="009C1503">
                    <w:pPr>
                      <w:jc w:val="center"/>
                      <w:textDirection w:val="btLr"/>
                    </w:pPr>
                    <w:r>
                      <w:rPr>
                        <w:rFonts w:ascii="Arial" w:eastAsia="Arial" w:hAnsi="Arial" w:cs="Arial"/>
                        <w:color w:val="000000"/>
                        <w:sz w:val="14"/>
                      </w:rPr>
                      <w:t>PG02-PL03 V2</w:t>
                    </w:r>
                  </w:p>
                </w:txbxContent>
              </v:textbox>
              <w10:wrap type="square"/>
            </v:rect>
          </w:pict>
        </mc:Fallback>
      </mc:AlternateContent>
    </w:r>
  </w:p>
  <w:p w14:paraId="31B2363D" w14:textId="77777777" w:rsidR="00113397" w:rsidRDefault="009C150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CD79975" w14:textId="77777777" w:rsidR="00113397" w:rsidRPr="00F90DC2" w:rsidRDefault="009C1503">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F90DC2">
      <w:rPr>
        <w:rFonts w:ascii="Arial" w:eastAsia="Arial" w:hAnsi="Arial" w:cs="Arial"/>
        <w:color w:val="000000"/>
        <w:sz w:val="16"/>
        <w:szCs w:val="16"/>
        <w:lang w:val="pt-PT"/>
      </w:rPr>
      <w:t xml:space="preserve">Código Postal: 110231 </w:t>
    </w:r>
  </w:p>
  <w:p w14:paraId="1626D913" w14:textId="77777777" w:rsidR="00113397" w:rsidRPr="00F90DC2" w:rsidRDefault="009C1503">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F90DC2">
        <w:rPr>
          <w:rFonts w:ascii="Arial" w:eastAsia="Arial" w:hAnsi="Arial" w:cs="Arial"/>
          <w:color w:val="0000FF"/>
          <w:sz w:val="16"/>
          <w:szCs w:val="16"/>
          <w:u w:val="single"/>
          <w:lang w:val="pt-PT"/>
        </w:rPr>
        <w:t>www.habitatbogota.gov.co</w:t>
      </w:r>
    </w:hyperlink>
    <w:r w:rsidRPr="00F90DC2">
      <w:rPr>
        <w:rFonts w:ascii="Arial" w:eastAsia="Arial" w:hAnsi="Arial" w:cs="Arial"/>
        <w:color w:val="000000"/>
        <w:sz w:val="16"/>
        <w:szCs w:val="16"/>
        <w:lang w:val="pt-PT"/>
      </w:rPr>
      <w:t xml:space="preserve">                 </w:t>
    </w:r>
  </w:p>
  <w:p w14:paraId="6B6270E3" w14:textId="77777777" w:rsidR="00113397" w:rsidRPr="00F90DC2" w:rsidRDefault="00113397">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75DDB0" w14:textId="77777777" w:rsidR="00B4406F" w:rsidRDefault="00B4406F">
      <w:r>
        <w:separator/>
      </w:r>
    </w:p>
  </w:footnote>
  <w:footnote w:type="continuationSeparator" w:id="0">
    <w:p w14:paraId="3B2A5C4D" w14:textId="77777777" w:rsidR="00B4406F" w:rsidRDefault="00B440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8D2292" w14:textId="77777777" w:rsidR="00113397" w:rsidRDefault="00113397">
    <w:pPr>
      <w:rPr>
        <w:b/>
        <w:bCs/>
        <w:sz w:val="22"/>
        <w:szCs w:val="22"/>
      </w:rPr>
    </w:pPr>
    <w:bookmarkStart w:id="3" w:name="_heading=h.g0ck6mntm1z9" w:colFirst="0" w:colLast="0"/>
    <w:bookmarkEnd w:id="3"/>
  </w:p>
  <w:p w14:paraId="317417E0" w14:textId="77777777" w:rsidR="00113397" w:rsidRDefault="00113397">
    <w:pPr>
      <w:rPr>
        <w:b/>
        <w:bCs/>
        <w:sz w:val="22"/>
        <w:szCs w:val="22"/>
      </w:rPr>
    </w:pPr>
  </w:p>
  <w:p w14:paraId="4DC4C83D" w14:textId="77777777" w:rsidR="00113397" w:rsidRDefault="00113397">
    <w:pPr>
      <w:rPr>
        <w:b/>
        <w:bCs/>
        <w:sz w:val="22"/>
        <w:szCs w:val="22"/>
      </w:rPr>
    </w:pPr>
  </w:p>
  <w:p w14:paraId="11429A2A" w14:textId="77777777" w:rsidR="00113397" w:rsidRDefault="009C1503">
    <w:pPr>
      <w:jc w:val="center"/>
      <w:rPr>
        <w:rFonts w:ascii="Arial" w:eastAsia="Arial" w:hAnsi="Arial" w:cs="Arial"/>
        <w:b/>
        <w:bCs/>
        <w:sz w:val="22"/>
        <w:szCs w:val="22"/>
      </w:rPr>
    </w:pPr>
    <w:r>
      <w:rPr>
        <w:rFonts w:ascii="Arial" w:eastAsia="Arial" w:hAnsi="Arial" w:cs="Arial"/>
        <w:b/>
        <w:bCs/>
        <w:sz w:val="22"/>
        <w:szCs w:val="22"/>
      </w:rPr>
      <w:t>RESOLUCIÓN No. __ DEL 02 DE MARZO DE 2026</w:t>
    </w:r>
  </w:p>
  <w:p w14:paraId="4320F41B" w14:textId="77777777" w:rsidR="00113397" w:rsidRDefault="009C1503">
    <w:pPr>
      <w:jc w:val="center"/>
      <w:rPr>
        <w:rFonts w:ascii="Arial" w:eastAsia="Arial" w:hAnsi="Arial" w:cs="Arial"/>
        <w:i/>
        <w:iCs/>
        <w:sz w:val="22"/>
        <w:szCs w:val="22"/>
      </w:rPr>
    </w:pPr>
    <w:r>
      <w:rPr>
        <w:rFonts w:ascii="Arial" w:eastAsia="Arial" w:hAnsi="Arial" w:cs="Arial"/>
        <w:i/>
        <w:iCs/>
        <w:sz w:val="22"/>
        <w:szCs w:val="22"/>
      </w:rPr>
      <w:t>“Por la cual se culmina una actuación administrativa”</w:t>
    </w:r>
  </w:p>
  <w:p w14:paraId="62418826" w14:textId="77777777" w:rsidR="00113397" w:rsidRDefault="009C1503">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44D7A457" wp14:editId="1FC8652A">
          <wp:simplePos x="0" y="0"/>
          <wp:positionH relativeFrom="margin">
            <wp:align>center</wp:align>
          </wp:positionH>
          <wp:positionV relativeFrom="page">
            <wp:posOffset>277495</wp:posOffset>
          </wp:positionV>
          <wp:extent cx="1333500" cy="469900"/>
          <wp:effectExtent l="9525" t="9525" r="9525" b="9525"/>
          <wp:wrapSquare wrapText="bothSides" distT="0" distB="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w="9525">
                    <a:solidFill>
                      <a:srgbClr val="000000"/>
                    </a:solidFill>
                    <a:prstDash val="soli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0356B0C"/>
    <w:multiLevelType w:val="multilevel"/>
    <w:tmpl w:val="F8EAD9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9252683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3397"/>
    <w:rsid w:val="000F0492"/>
    <w:rsid w:val="00113397"/>
    <w:rsid w:val="00185DD7"/>
    <w:rsid w:val="00514FF4"/>
    <w:rsid w:val="00637D4D"/>
    <w:rsid w:val="0083405B"/>
    <w:rsid w:val="009C1503"/>
    <w:rsid w:val="00B4406F"/>
    <w:rsid w:val="00F55C1F"/>
    <w:rsid w:val="00F90DC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D37357"/>
  <w15:docId w15:val="{A62513F4-32A3-4FCD-BB1A-2157E7595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alcabama..com.c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3Q1cUuj1lxLTAB9DNQ9uKwNgobg==">CgMxLjAyDmgudHppaWI4bWp1OTQ4Mg5oLnZtcTVqbHN5bGNqaDIOaC5jYXQzbmF0YzEzd2syDmguZzBjazZtbnRtMXo5OAByITF3U1FnQnFaM3MyOE5KZldqYUk4bWtNV1BtMHhnYmVVdA==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2422</Words>
  <Characters>13325</Characters>
  <Application>Microsoft Office Word</Application>
  <DocSecurity>0</DocSecurity>
  <Lines>111</Lines>
  <Paragraphs>31</Paragraphs>
  <ScaleCrop>false</ScaleCrop>
  <Company/>
  <LinksUpToDate>false</LinksUpToDate>
  <CharactersWithSpaces>15716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Mauricio Hernandez Beltran</dc:creator>
  <cp:lastModifiedBy>Mauricio Hernandez Beltran</cp:lastModifiedBy>
  <cp:revision>2</cp:revision>
  <dcterms:created xsi:type="dcterms:W3CDTF">2026-05-19T15:39:00Z</dcterms:created>
  <dcterms:modified xsi:type="dcterms:W3CDTF">2026-05-19T15:39:00Z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d4494e3e3dd04deb84898a9835dfd124</vt:lpwstr>
  </property>
</Properties>
</file>